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3E84CACA"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2D538D">
        <w:rPr>
          <w:rFonts w:ascii="Arial" w:eastAsia="MS Mincho" w:hAnsi="Arial" w:cs="Arial"/>
          <w:b/>
          <w:bCs/>
          <w:sz w:val="24"/>
          <w:szCs w:val="18"/>
          <w:lang w:val="en-US" w:eastAsia="ja-JP"/>
        </w:rPr>
        <w:t>2</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EB0B2D" w:rsidRPr="00EB0B2D">
        <w:rPr>
          <w:rFonts w:ascii="Arial" w:eastAsia="MS Mincho" w:hAnsi="Arial" w:cs="Arial"/>
          <w:b/>
          <w:bCs/>
          <w:sz w:val="24"/>
          <w:szCs w:val="18"/>
          <w:lang w:val="en-US" w:eastAsia="ja-JP"/>
        </w:rPr>
        <w:t>R1-</w:t>
      </w:r>
      <w:r w:rsidR="00C13B01" w:rsidRPr="00C13B01">
        <w:t xml:space="preserve"> </w:t>
      </w:r>
      <w:r w:rsidR="00C13B01" w:rsidRPr="00C13B01">
        <w:rPr>
          <w:rFonts w:ascii="Arial" w:eastAsia="MS Mincho" w:hAnsi="Arial" w:cs="Arial"/>
          <w:b/>
          <w:bCs/>
          <w:sz w:val="24"/>
          <w:szCs w:val="18"/>
          <w:lang w:val="en-US" w:eastAsia="ja-JP"/>
        </w:rPr>
        <w:t>2301419</w:t>
      </w:r>
    </w:p>
    <w:p w14:paraId="464DA89C" w14:textId="2E874089" w:rsidR="00362402" w:rsidRPr="00BE1B74" w:rsidRDefault="002D538D"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Athens</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Feb</w:t>
      </w:r>
      <w:r w:rsidR="00F30FF2">
        <w:rPr>
          <w:rFonts w:ascii="Arial" w:eastAsia="MS Mincho" w:hAnsi="Arial" w:cs="Arial"/>
          <w:b/>
          <w:bCs/>
          <w:sz w:val="24"/>
          <w:szCs w:val="18"/>
          <w:lang w:val="en-US" w:eastAsia="ja-JP"/>
        </w:rPr>
        <w:t>.</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27</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0A20A6">
        <w:rPr>
          <w:rFonts w:ascii="Arial" w:eastAsia="MS Mincho" w:hAnsi="Arial" w:cs="Arial"/>
          <w:b/>
          <w:bCs/>
          <w:sz w:val="24"/>
          <w:szCs w:val="18"/>
          <w:lang w:val="en-US" w:eastAsia="ja-JP"/>
        </w:rPr>
        <w:t>March 3rd</w:t>
      </w:r>
      <w:r w:rsidR="00362402" w:rsidRPr="00BE1B74">
        <w:rPr>
          <w:rFonts w:ascii="Arial" w:eastAsia="MS Mincho" w:hAnsi="Arial" w:cs="Arial"/>
          <w:b/>
          <w:bCs/>
          <w:sz w:val="24"/>
          <w:szCs w:val="18"/>
          <w:lang w:val="en-US" w:eastAsia="ja-JP"/>
        </w:rPr>
        <w:t>, 202</w:t>
      </w:r>
      <w:r w:rsidR="000A20A6">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56834884"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273665">
        <w:rPr>
          <w:rFonts w:ascii="Arial" w:eastAsia="MS Mincho" w:hAnsi="Arial"/>
          <w:sz w:val="24"/>
          <w:lang w:val="en-US"/>
        </w:rPr>
        <w:t>3</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1D140D4D"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73665" w:rsidRPr="00273665">
        <w:rPr>
          <w:rFonts w:ascii="Arial" w:eastAsia="MS Mincho" w:hAnsi="Arial"/>
          <w:sz w:val="24"/>
          <w:lang w:val="en-US"/>
        </w:rPr>
        <w:t>Resource Allocation for SL-PRS</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0028FA60"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3A1014">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5F60885E" w:rsidR="00B35E9E" w:rsidRPr="00BE1B74" w:rsidRDefault="001D6044" w:rsidP="0044506E">
      <w:pPr>
        <w:rPr>
          <w:lang w:val="en-US"/>
        </w:rPr>
      </w:pPr>
      <w:r w:rsidRPr="00BE1B74">
        <w:rPr>
          <w:lang w:val="en-US"/>
        </w:rPr>
        <w:t xml:space="preserve">In this contribution, we discuss </w:t>
      </w:r>
      <w:r w:rsidR="005D1B48">
        <w:rPr>
          <w:lang w:val="en-US"/>
        </w:rPr>
        <w:t xml:space="preserve">the design </w:t>
      </w:r>
      <w:r w:rsidR="0051530D">
        <w:rPr>
          <w:lang w:val="en-US"/>
        </w:rPr>
        <w:t xml:space="preserve">of the dedicated and shared resource pools as well as </w:t>
      </w:r>
      <w:r w:rsidR="00B43408">
        <w:rPr>
          <w:lang w:val="en-US"/>
        </w:rPr>
        <w:t>how to perform Scheme 1 and Scheme 2 resource allocation in each.</w:t>
      </w:r>
    </w:p>
    <w:p w14:paraId="21C33918" w14:textId="153BD874" w:rsidR="00B82C40" w:rsidRDefault="00B82C40" w:rsidP="00B82C40">
      <w:pPr>
        <w:rPr>
          <w:lang w:val="en-US"/>
        </w:rPr>
      </w:pPr>
    </w:p>
    <w:p w14:paraId="33EB9EB3" w14:textId="031F88E0" w:rsidR="00B666CE" w:rsidRDefault="00B666CE" w:rsidP="00B150DF">
      <w:pPr>
        <w:pStyle w:val="Heading1"/>
        <w:rPr>
          <w:lang w:val="en-US"/>
        </w:rPr>
      </w:pPr>
      <w:r>
        <w:rPr>
          <w:lang w:val="en-US"/>
        </w:rPr>
        <w:lastRenderedPageBreak/>
        <w:t>Resource Pool Structure</w:t>
      </w:r>
    </w:p>
    <w:p w14:paraId="6BD29E76" w14:textId="37C89AF8" w:rsidR="007B7C15" w:rsidRDefault="007B7C15" w:rsidP="007B7C15">
      <w:pPr>
        <w:rPr>
          <w:lang w:val="en-US"/>
        </w:rPr>
      </w:pPr>
      <w:r>
        <w:rPr>
          <w:lang w:val="en-US"/>
        </w:rPr>
        <w:t xml:space="preserve">RAN1 agreed to support SL-PRS transmissions in a </w:t>
      </w:r>
      <w:r w:rsidR="00961354">
        <w:rPr>
          <w:lang w:val="en-US"/>
        </w:rPr>
        <w:t>resource pool</w:t>
      </w:r>
      <w:r w:rsidR="007C2AA4">
        <w:rPr>
          <w:lang w:val="en-US"/>
        </w:rPr>
        <w:t xml:space="preserve"> that is shared with sidelink communications or in a dedicated resource pool that is not shared with sidelink communications</w:t>
      </w:r>
      <w:r w:rsidR="002B4556">
        <w:rPr>
          <w:lang w:val="en-US"/>
        </w:rPr>
        <w:t xml:space="preserve"> </w:t>
      </w:r>
      <w:r w:rsidR="002B4556">
        <w:rPr>
          <w:lang w:val="en-US"/>
        </w:rPr>
        <w:fldChar w:fldCharType="begin"/>
      </w:r>
      <w:r w:rsidR="002B4556">
        <w:rPr>
          <w:lang w:val="en-US"/>
        </w:rPr>
        <w:instrText xml:space="preserve"> REF _Ref127259689 \r \h </w:instrText>
      </w:r>
      <w:r w:rsidR="002B4556">
        <w:rPr>
          <w:lang w:val="en-US"/>
        </w:rPr>
      </w:r>
      <w:r w:rsidR="002B4556">
        <w:rPr>
          <w:lang w:val="en-US"/>
        </w:rPr>
        <w:fldChar w:fldCharType="separate"/>
      </w:r>
      <w:r w:rsidR="002B4556">
        <w:rPr>
          <w:lang w:val="en-US"/>
        </w:rPr>
        <w:t>[2]</w:t>
      </w:r>
      <w:r w:rsidR="002B4556">
        <w:rPr>
          <w:lang w:val="en-US"/>
        </w:rPr>
        <w:fldChar w:fldCharType="end"/>
      </w:r>
      <w:r w:rsidR="007C2AA4">
        <w:rPr>
          <w:lang w:val="en-US"/>
        </w:rPr>
        <w:t>:</w:t>
      </w:r>
    </w:p>
    <w:tbl>
      <w:tblPr>
        <w:tblStyle w:val="TableGrid"/>
        <w:tblW w:w="0" w:type="auto"/>
        <w:tblLook w:val="04A0" w:firstRow="1" w:lastRow="0" w:firstColumn="1" w:lastColumn="0" w:noHBand="0" w:noVBand="1"/>
      </w:tblPr>
      <w:tblGrid>
        <w:gridCol w:w="9629"/>
      </w:tblGrid>
      <w:tr w:rsidR="00DA1B78" w14:paraId="2DBA7408" w14:textId="77777777" w:rsidTr="00DA1B78">
        <w:tc>
          <w:tcPr>
            <w:tcW w:w="9629" w:type="dxa"/>
          </w:tcPr>
          <w:p w14:paraId="65021372" w14:textId="77777777" w:rsidR="00DA1B78" w:rsidRPr="000214E7" w:rsidRDefault="00DA1B78" w:rsidP="00DA1B78">
            <w:pPr>
              <w:tabs>
                <w:tab w:val="left" w:pos="1276"/>
              </w:tabs>
              <w:spacing w:after="0"/>
              <w:rPr>
                <w:rFonts w:eastAsia="Batang"/>
                <w:b/>
              </w:rPr>
            </w:pPr>
            <w:r w:rsidRPr="000214E7">
              <w:rPr>
                <w:rFonts w:eastAsia="Batang"/>
                <w:b/>
                <w:highlight w:val="green"/>
              </w:rPr>
              <w:t>Agreement</w:t>
            </w:r>
          </w:p>
          <w:p w14:paraId="1BB0F3A1" w14:textId="77777777" w:rsidR="00DA1B78" w:rsidRPr="000214E7" w:rsidRDefault="00DA1B78" w:rsidP="00DA1B78">
            <w:pPr>
              <w:spacing w:after="0"/>
              <w:rPr>
                <w:rFonts w:eastAsia="Batang"/>
              </w:rPr>
            </w:pPr>
            <w:r w:rsidRPr="000214E7">
              <w:rPr>
                <w:rFonts w:eastAsia="Batang"/>
              </w:rPr>
              <w:t>With regards to the SL Positioning resource allocation, study further the following 2 options for SL Positioning resource (pre-)configuration:</w:t>
            </w:r>
          </w:p>
          <w:p w14:paraId="6E7F1A96" w14:textId="77777777" w:rsidR="00DA1B78" w:rsidRPr="000214E7" w:rsidRDefault="00DA1B78" w:rsidP="00DA1B78">
            <w:pPr>
              <w:numPr>
                <w:ilvl w:val="0"/>
                <w:numId w:val="15"/>
              </w:numPr>
              <w:spacing w:after="0"/>
              <w:jc w:val="left"/>
              <w:rPr>
                <w:rFonts w:eastAsia="Batang"/>
                <w:szCs w:val="24"/>
                <w:lang w:eastAsia="x-none"/>
              </w:rPr>
            </w:pPr>
            <w:r w:rsidRPr="000214E7">
              <w:rPr>
                <w:rFonts w:eastAsia="Batang"/>
                <w:szCs w:val="24"/>
                <w:lang w:eastAsia="x-none"/>
              </w:rPr>
              <w:t xml:space="preserve">Option 1: Dedicated resource pool for SL-PRS </w:t>
            </w:r>
          </w:p>
          <w:p w14:paraId="1D2BE80D" w14:textId="77777777" w:rsidR="00DA1B78" w:rsidRPr="000214E7" w:rsidRDefault="00DA1B78" w:rsidP="00DA1B78">
            <w:pPr>
              <w:numPr>
                <w:ilvl w:val="1"/>
                <w:numId w:val="15"/>
              </w:numPr>
              <w:spacing w:after="0"/>
              <w:jc w:val="left"/>
              <w:rPr>
                <w:rFonts w:eastAsia="Batang"/>
                <w:szCs w:val="24"/>
                <w:lang w:eastAsia="x-none"/>
              </w:rPr>
            </w:pPr>
            <w:r w:rsidRPr="000214E7">
              <w:rPr>
                <w:rFonts w:eastAsia="Batang"/>
                <w:szCs w:val="24"/>
                <w:lang w:eastAsia="x-none"/>
              </w:rPr>
              <w:t>Include in the study at least the following aspects:</w:t>
            </w:r>
          </w:p>
          <w:p w14:paraId="3872026E"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which slots can be used, SL frame structure, SL positioning slot structure, multiplexing of SL-PRS with control information (if included in the same slot)</w:t>
            </w:r>
          </w:p>
          <w:p w14:paraId="08D40949"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positioning measurement report</w:t>
            </w:r>
          </w:p>
          <w:p w14:paraId="4974E865"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whether a dedicated frequency allocation (e.g., layer/BWP) is needed for SL PRS</w:t>
            </w:r>
          </w:p>
          <w:p w14:paraId="25045158"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resource allocation procedure(s) of SL-PRS</w:t>
            </w:r>
          </w:p>
          <w:p w14:paraId="31B170F7"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This option may or may not include control information (i.e., configuration/activation/deactivation/triggering of SL-PRS) for the purpose of SL positioning operation</w:t>
            </w:r>
          </w:p>
          <w:p w14:paraId="7F477EF4" w14:textId="77777777" w:rsidR="00DA1B78" w:rsidRPr="000214E7" w:rsidRDefault="00DA1B78" w:rsidP="00DA1B78">
            <w:pPr>
              <w:numPr>
                <w:ilvl w:val="0"/>
                <w:numId w:val="15"/>
              </w:numPr>
              <w:spacing w:after="0"/>
              <w:jc w:val="left"/>
              <w:rPr>
                <w:rFonts w:eastAsia="Batang"/>
                <w:szCs w:val="24"/>
                <w:lang w:eastAsia="x-none"/>
              </w:rPr>
            </w:pPr>
            <w:r w:rsidRPr="000214E7">
              <w:rPr>
                <w:rFonts w:eastAsia="Batang"/>
                <w:szCs w:val="24"/>
                <w:lang w:eastAsia="x-none"/>
              </w:rPr>
              <w:t>Option 2: Shared resource pool with sidelink communication.</w:t>
            </w:r>
          </w:p>
          <w:p w14:paraId="74DE64ED" w14:textId="77777777" w:rsidR="00DA1B78" w:rsidRPr="000214E7" w:rsidRDefault="00DA1B78" w:rsidP="00DA1B78">
            <w:pPr>
              <w:numPr>
                <w:ilvl w:val="1"/>
                <w:numId w:val="15"/>
              </w:numPr>
              <w:spacing w:after="0"/>
              <w:jc w:val="left"/>
              <w:rPr>
                <w:rFonts w:eastAsia="Batang"/>
                <w:szCs w:val="24"/>
                <w:lang w:eastAsia="x-none"/>
              </w:rPr>
            </w:pPr>
            <w:r w:rsidRPr="000214E7">
              <w:rPr>
                <w:rFonts w:eastAsia="Batang"/>
                <w:szCs w:val="24"/>
                <w:lang w:eastAsia="x-none"/>
              </w:rPr>
              <w:t>Include in the study at least the following aspects:</w:t>
            </w:r>
          </w:p>
          <w:p w14:paraId="12D2D5E8"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co-existence between SL communication and SL positioning, backward compatibility</w:t>
            </w:r>
          </w:p>
          <w:p w14:paraId="3D64D7DC"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Multiplexing considerations of SL-PRS with other PHY channels (PSCCH, PSSCH, PSFCH) and any modifications in the SL-slot structure</w:t>
            </w:r>
          </w:p>
          <w:p w14:paraId="4BA5DD71" w14:textId="77777777" w:rsidR="00CB225C" w:rsidRPr="0095047C" w:rsidRDefault="00CB225C" w:rsidP="00CB225C">
            <w:pPr>
              <w:rPr>
                <w:rFonts w:eastAsia="SimSun"/>
                <w:b/>
                <w:bCs/>
                <w:lang w:eastAsia="zh-CN"/>
              </w:rPr>
            </w:pPr>
            <w:r w:rsidRPr="0095047C">
              <w:rPr>
                <w:rFonts w:eastAsia="SimSun"/>
                <w:b/>
                <w:bCs/>
                <w:highlight w:val="green"/>
                <w:lang w:eastAsia="zh-CN"/>
              </w:rPr>
              <w:t>Agreement</w:t>
            </w:r>
          </w:p>
          <w:p w14:paraId="352D0A40" w14:textId="77777777" w:rsidR="00CB225C" w:rsidRDefault="00CB225C" w:rsidP="00CB225C">
            <w:r>
              <w:t>With regards to the SL Positioning resource allocation, one of the following alternatives should be introduced for supporting SL positioning/ranging:</w:t>
            </w:r>
          </w:p>
          <w:p w14:paraId="1BEEF6B2" w14:textId="77777777" w:rsidR="00CB225C" w:rsidRDefault="00CB225C" w:rsidP="00CB225C">
            <w:pPr>
              <w:numPr>
                <w:ilvl w:val="0"/>
                <w:numId w:val="15"/>
              </w:numPr>
              <w:spacing w:after="0"/>
              <w:jc w:val="left"/>
            </w:pPr>
            <w:r>
              <w:t>Alt. 1: only dedicated resource pool(s) can be (pre-)configured for SL-PRS</w:t>
            </w:r>
          </w:p>
          <w:p w14:paraId="397ABC0B" w14:textId="77777777" w:rsidR="00CB225C" w:rsidRDefault="00CB225C" w:rsidP="00CB225C">
            <w:pPr>
              <w:numPr>
                <w:ilvl w:val="0"/>
                <w:numId w:val="15"/>
              </w:numPr>
              <w:spacing w:after="0"/>
              <w:jc w:val="left"/>
            </w:pPr>
            <w:r>
              <w:t xml:space="preserve">Alt. 2: either dedicated resource pool(s) and/or </w:t>
            </w:r>
            <w:r>
              <w:rPr>
                <w:strike/>
              </w:rPr>
              <w:t xml:space="preserve">a </w:t>
            </w:r>
            <w:r>
              <w:t>shared resource pool(s) with sidelink communication can be (pre-)configured for SL-PRS</w:t>
            </w:r>
          </w:p>
          <w:p w14:paraId="348CC05F" w14:textId="77777777" w:rsidR="00CB225C" w:rsidRDefault="00CB225C" w:rsidP="00CB225C">
            <w:pPr>
              <w:numPr>
                <w:ilvl w:val="0"/>
                <w:numId w:val="15"/>
              </w:numPr>
              <w:spacing w:after="0"/>
              <w:jc w:val="left"/>
            </w:pPr>
            <w:r>
              <w:t>Note: whether other signals/channels can be present in the dedicated resource pool can be further discussed</w:t>
            </w:r>
          </w:p>
          <w:p w14:paraId="7A7899F0" w14:textId="77777777" w:rsidR="00DA1B78" w:rsidRDefault="00DA1B78" w:rsidP="007B7C15">
            <w:pPr>
              <w:rPr>
                <w:lang w:val="en-US"/>
              </w:rPr>
            </w:pPr>
          </w:p>
          <w:p w14:paraId="7FB68F29" w14:textId="77777777" w:rsidR="0095047C" w:rsidRDefault="0095047C" w:rsidP="0095047C">
            <w:pPr>
              <w:rPr>
                <w:b/>
              </w:rPr>
            </w:pPr>
            <w:r>
              <w:rPr>
                <w:b/>
                <w:highlight w:val="green"/>
              </w:rPr>
              <w:t>Agreement</w:t>
            </w:r>
          </w:p>
          <w:p w14:paraId="199F0538" w14:textId="77777777" w:rsidR="0095047C" w:rsidRDefault="0095047C" w:rsidP="0095047C">
            <w:r>
              <w:t>With regards to the SL Positioning resource allocation, support</w:t>
            </w:r>
          </w:p>
          <w:p w14:paraId="0497E96C" w14:textId="77777777" w:rsidR="0095047C" w:rsidRDefault="0095047C" w:rsidP="0095047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Alt. 2: either dedicated resource pool(s) and/or a shared resource pool(s) with sidelink communication can be (pre-)configured for SL-PRS.</w:t>
            </w:r>
          </w:p>
          <w:p w14:paraId="52E290ED" w14:textId="77777777" w:rsidR="0095047C" w:rsidRDefault="0095047C" w:rsidP="0095047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Note: this does not imply that the design is the same for both types of resources pools</w:t>
            </w:r>
          </w:p>
          <w:p w14:paraId="6A1E76A4" w14:textId="200957E7" w:rsidR="0095047C" w:rsidRPr="0095047C" w:rsidRDefault="0095047C" w:rsidP="007B7C15">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Note: shared resources pool(s) should be supported with backward compatibility</w:t>
            </w:r>
          </w:p>
        </w:tc>
      </w:tr>
    </w:tbl>
    <w:p w14:paraId="0003E506" w14:textId="3EAD38E9" w:rsidR="00DA1B78" w:rsidRDefault="00DA1B78" w:rsidP="007B7C15">
      <w:pPr>
        <w:rPr>
          <w:lang w:val="en-US"/>
        </w:rPr>
      </w:pPr>
    </w:p>
    <w:p w14:paraId="166D25ED" w14:textId="6AE81517" w:rsidR="00474798" w:rsidRPr="007B7C15" w:rsidRDefault="00474798" w:rsidP="007B7C15">
      <w:pPr>
        <w:rPr>
          <w:lang w:val="en-US"/>
        </w:rPr>
      </w:pPr>
      <w:r>
        <w:rPr>
          <w:lang w:val="en-US"/>
        </w:rPr>
        <w:t>In this section, we discuss details of both types of resource pool.</w:t>
      </w:r>
    </w:p>
    <w:p w14:paraId="546BC88C" w14:textId="647DF3F0" w:rsidR="00B666CE" w:rsidRDefault="00672214" w:rsidP="003B65A3">
      <w:pPr>
        <w:pStyle w:val="Heading2"/>
      </w:pPr>
      <w:r w:rsidRPr="003B65A3">
        <w:t>Shared Resource Pool</w:t>
      </w:r>
    </w:p>
    <w:p w14:paraId="5B34A6AE" w14:textId="01C1BC99" w:rsidR="00535433" w:rsidRDefault="00F62189" w:rsidP="00474798">
      <w:pPr>
        <w:rPr>
          <w:lang w:val="en-US"/>
        </w:rPr>
      </w:pPr>
      <w:r>
        <w:rPr>
          <w:lang w:val="en-US"/>
        </w:rPr>
        <w:t>Maintaining backward</w:t>
      </w:r>
      <w:r w:rsidR="00161255">
        <w:rPr>
          <w:lang w:val="en-US"/>
        </w:rPr>
        <w:t xml:space="preserve"> </w:t>
      </w:r>
      <w:r w:rsidR="00760F0B">
        <w:rPr>
          <w:lang w:val="en-US"/>
        </w:rPr>
        <w:t>compatibility is a primary requirement for the shared resource pool</w:t>
      </w:r>
      <w:r w:rsidR="005878A4">
        <w:rPr>
          <w:lang w:val="en-US"/>
        </w:rPr>
        <w:t xml:space="preserve"> and to ensure it, legacy devices should be able to decode SCI-1 and avoid any reservations </w:t>
      </w:r>
      <w:r w:rsidR="0042473C">
        <w:rPr>
          <w:lang w:val="en-US"/>
        </w:rPr>
        <w:t xml:space="preserve">it </w:t>
      </w:r>
      <w:r w:rsidR="005878A4">
        <w:rPr>
          <w:lang w:val="en-US"/>
        </w:rPr>
        <w:t>indicate</w:t>
      </w:r>
      <w:r w:rsidR="0042473C">
        <w:rPr>
          <w:lang w:val="en-US"/>
        </w:rPr>
        <w:t xml:space="preserve">s. </w:t>
      </w:r>
      <w:r w:rsidR="00535433">
        <w:rPr>
          <w:lang w:val="en-US"/>
        </w:rPr>
        <w:t>To achieve this, the existing SCI-1A format should be used.</w:t>
      </w:r>
      <w:r w:rsidR="00696F34">
        <w:rPr>
          <w:lang w:val="en-US"/>
        </w:rPr>
        <w:t xml:space="preserve"> As a result, any positioning related L1 signaling would be in a new SCI-2 format</w:t>
      </w:r>
      <w:r w:rsidR="00443BA5">
        <w:rPr>
          <w:lang w:val="en-US"/>
        </w:rPr>
        <w:t>, requiring a shared channel</w:t>
      </w:r>
      <w:r w:rsidR="00622DB1">
        <w:rPr>
          <w:lang w:val="en-US"/>
        </w:rPr>
        <w:t xml:space="preserve"> with </w:t>
      </w:r>
      <w:r w:rsidR="00D8674A">
        <w:rPr>
          <w:lang w:val="en-US"/>
        </w:rPr>
        <w:t>PSSCH DMRS.</w:t>
      </w:r>
    </w:p>
    <w:p w14:paraId="4F041D45" w14:textId="1A40D6CA" w:rsidR="00474798" w:rsidRDefault="00535433" w:rsidP="00535433">
      <w:pPr>
        <w:pStyle w:val="Caption"/>
      </w:pPr>
      <w:bookmarkStart w:id="0" w:name="_Toc128123787"/>
      <w:r>
        <w:t xml:space="preserve">Proposal </w:t>
      </w:r>
      <w:r w:rsidR="002B3543">
        <w:fldChar w:fldCharType="begin"/>
      </w:r>
      <w:r w:rsidR="002B3543">
        <w:instrText xml:space="preserve"> SEQ Proposal \* ARABIC </w:instrText>
      </w:r>
      <w:r w:rsidR="002B3543">
        <w:fldChar w:fldCharType="separate"/>
      </w:r>
      <w:r w:rsidR="0015073F">
        <w:rPr>
          <w:noProof/>
        </w:rPr>
        <w:t>1</w:t>
      </w:r>
      <w:r w:rsidR="002B3543">
        <w:rPr>
          <w:noProof/>
        </w:rPr>
        <w:fldChar w:fldCharType="end"/>
      </w:r>
      <w:r>
        <w:t>: In the shared resource pool</w:t>
      </w:r>
      <w:r w:rsidR="00383606">
        <w:t xml:space="preserve">, existing SCI-1A format </w:t>
      </w:r>
      <w:r w:rsidR="00696F34">
        <w:t>is used. A new SCI-2 format can be used for positioning-related L1 signaling.</w:t>
      </w:r>
      <w:bookmarkEnd w:id="0"/>
    </w:p>
    <w:p w14:paraId="4B703230" w14:textId="298B5EF0" w:rsidR="00696F34" w:rsidRDefault="00B11D9E" w:rsidP="00696F34">
      <w:pPr>
        <w:rPr>
          <w:lang w:val="en-US"/>
        </w:rPr>
      </w:pPr>
      <w:r>
        <w:rPr>
          <w:lang w:val="en-US"/>
        </w:rPr>
        <w:t xml:space="preserve">In the shared resource pool, other transmissions could be FDMed, in different sub-channels, with </w:t>
      </w:r>
      <w:r w:rsidR="00443BA5">
        <w:rPr>
          <w:lang w:val="en-US"/>
        </w:rPr>
        <w:t xml:space="preserve">transmissions carrying SL-PRS. Hence, it is important keep transmission power constant across all symbols to avoid </w:t>
      </w:r>
      <w:r w:rsidR="00622DB1">
        <w:rPr>
          <w:lang w:val="en-US"/>
        </w:rPr>
        <w:t>AGC issues in the FDMed transmission</w:t>
      </w:r>
      <w:r w:rsidR="00D50869">
        <w:rPr>
          <w:lang w:val="en-US"/>
        </w:rPr>
        <w:t xml:space="preserve">s as discussed in our companion contribution </w:t>
      </w:r>
      <w:r w:rsidR="000B7DC8">
        <w:rPr>
          <w:lang w:val="en-US"/>
        </w:rPr>
        <w:fldChar w:fldCharType="begin"/>
      </w:r>
      <w:r w:rsidR="000B7DC8">
        <w:rPr>
          <w:lang w:val="en-US"/>
        </w:rPr>
        <w:instrText xml:space="preserve"> REF _Ref127458150 \r \h </w:instrText>
      </w:r>
      <w:r w:rsidR="000B7DC8">
        <w:rPr>
          <w:lang w:val="en-US"/>
        </w:rPr>
      </w:r>
      <w:r w:rsidR="000B7DC8">
        <w:rPr>
          <w:lang w:val="en-US"/>
        </w:rPr>
        <w:fldChar w:fldCharType="separate"/>
      </w:r>
      <w:r w:rsidR="000B7DC8">
        <w:rPr>
          <w:lang w:val="en-US"/>
        </w:rPr>
        <w:t>[5]</w:t>
      </w:r>
      <w:r w:rsidR="000B7DC8">
        <w:rPr>
          <w:lang w:val="en-US"/>
        </w:rPr>
        <w:fldChar w:fldCharType="end"/>
      </w:r>
      <w:r w:rsidR="000B7DC8">
        <w:rPr>
          <w:lang w:val="en-US"/>
        </w:rPr>
        <w:t xml:space="preserve">. </w:t>
      </w:r>
      <w:r w:rsidR="00421890">
        <w:rPr>
          <w:lang w:val="en-US"/>
        </w:rPr>
        <w:t>SL-SCH would be mapped on PSSCH symbols to avoid leaving empty REs on symbols with PSSCH DMRS and SCI-2. Consequently, we propose to reuse the same slot structure as sidelink communications</w:t>
      </w:r>
      <w:r w:rsidR="003F014F">
        <w:rPr>
          <w:lang w:val="en-US"/>
        </w:rPr>
        <w:t xml:space="preserve"> as shown in </w:t>
      </w:r>
      <w:r w:rsidR="00207138">
        <w:rPr>
          <w:lang w:val="en-US"/>
        </w:rPr>
        <w:fldChar w:fldCharType="begin"/>
      </w:r>
      <w:r w:rsidR="00207138">
        <w:rPr>
          <w:lang w:val="en-US"/>
        </w:rPr>
        <w:instrText xml:space="preserve"> REF _Ref127458858 \h </w:instrText>
      </w:r>
      <w:r w:rsidR="00207138">
        <w:rPr>
          <w:lang w:val="en-US"/>
        </w:rPr>
      </w:r>
      <w:r w:rsidR="00207138">
        <w:rPr>
          <w:lang w:val="en-US"/>
        </w:rPr>
        <w:fldChar w:fldCharType="separate"/>
      </w:r>
      <w:r w:rsidR="00207138">
        <w:t xml:space="preserve">Figure </w:t>
      </w:r>
      <w:r w:rsidR="00207138">
        <w:rPr>
          <w:noProof/>
        </w:rPr>
        <w:t>1</w:t>
      </w:r>
      <w:r w:rsidR="00207138">
        <w:rPr>
          <w:lang w:val="en-US"/>
        </w:rPr>
        <w:fldChar w:fldCharType="end"/>
      </w:r>
      <w:r w:rsidR="004150C4">
        <w:rPr>
          <w:lang w:val="en-US"/>
        </w:rPr>
        <w:t>, following SL CSI-RS as an example</w:t>
      </w:r>
      <w:r w:rsidR="00421890">
        <w:rPr>
          <w:lang w:val="en-US"/>
        </w:rPr>
        <w:t>. Whether SL-</w:t>
      </w:r>
      <w:r w:rsidR="004150C4">
        <w:rPr>
          <w:lang w:val="en-US"/>
        </w:rPr>
        <w:t>SCH is also mapped on symbols with SL-PRS can be further discussed.</w:t>
      </w:r>
    </w:p>
    <w:p w14:paraId="2C639C77" w14:textId="65FC9FE3" w:rsidR="004150C4" w:rsidRDefault="004150C4" w:rsidP="004150C4">
      <w:pPr>
        <w:pStyle w:val="Caption"/>
      </w:pPr>
      <w:bookmarkStart w:id="1" w:name="_Toc128123788"/>
      <w:r>
        <w:t xml:space="preserve">Proposal </w:t>
      </w:r>
      <w:r w:rsidR="002B3543">
        <w:fldChar w:fldCharType="begin"/>
      </w:r>
      <w:r w:rsidR="002B3543">
        <w:instrText xml:space="preserve"> SEQ Proposal \* ARABIC </w:instrText>
      </w:r>
      <w:r w:rsidR="002B3543">
        <w:fldChar w:fldCharType="separate"/>
      </w:r>
      <w:r w:rsidR="0015073F">
        <w:rPr>
          <w:noProof/>
        </w:rPr>
        <w:t>2</w:t>
      </w:r>
      <w:r w:rsidR="002B3543">
        <w:rPr>
          <w:noProof/>
        </w:rPr>
        <w:fldChar w:fldCharType="end"/>
      </w:r>
      <w:r>
        <w:t>: In the shared resource, the slot structure, including the AGC symbol, PSCCH, PSSCH is reused for transmissions with SL-PRS.</w:t>
      </w:r>
      <w:bookmarkEnd w:id="1"/>
    </w:p>
    <w:p w14:paraId="3D471CCD" w14:textId="2FCC29F7" w:rsidR="003F014F" w:rsidRDefault="00FD181E" w:rsidP="00FD181E">
      <w:pPr>
        <w:pStyle w:val="Caption"/>
        <w:jc w:val="center"/>
      </w:pPr>
      <w:r>
        <w:rPr>
          <w:noProof/>
        </w:rPr>
        <w:lastRenderedPageBreak/>
        <w:drawing>
          <wp:inline distT="0" distB="0" distL="0" distR="0" wp14:anchorId="4672B648" wp14:editId="39C7C1EC">
            <wp:extent cx="2190750" cy="676082"/>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7276113F" w14:textId="06FDB921" w:rsidR="003F014F" w:rsidRDefault="003F014F" w:rsidP="00FD181E">
      <w:pPr>
        <w:pStyle w:val="Caption"/>
        <w:jc w:val="center"/>
      </w:pPr>
      <w:bookmarkStart w:id="2" w:name="_Ref127458858"/>
      <w:r>
        <w:t xml:space="preserve">Figure </w:t>
      </w:r>
      <w:r w:rsidR="002B3543">
        <w:fldChar w:fldCharType="begin"/>
      </w:r>
      <w:r w:rsidR="002B3543">
        <w:instrText xml:space="preserve"> SEQ Figure \* ARABIC </w:instrText>
      </w:r>
      <w:r w:rsidR="002B3543">
        <w:fldChar w:fldCharType="separate"/>
      </w:r>
      <w:r w:rsidR="004C5DB1">
        <w:rPr>
          <w:noProof/>
        </w:rPr>
        <w:t>1</w:t>
      </w:r>
      <w:r w:rsidR="002B3543">
        <w:rPr>
          <w:noProof/>
        </w:rPr>
        <w:fldChar w:fldCharType="end"/>
      </w:r>
      <w:bookmarkEnd w:id="2"/>
      <w:r w:rsidR="00FD181E">
        <w:t xml:space="preserve"> Slot structure in a shared resource pool.</w:t>
      </w:r>
    </w:p>
    <w:p w14:paraId="605639E4" w14:textId="31F88361" w:rsidR="00E0494B" w:rsidRDefault="00E0494B" w:rsidP="00E0494B">
      <w:r>
        <w:t xml:space="preserve">Another AGC issue could arise if different UEs transmit on </w:t>
      </w:r>
      <w:r w:rsidR="00611801">
        <w:t>different</w:t>
      </w:r>
      <w:r>
        <w:t xml:space="preserve"> comb</w:t>
      </w:r>
      <w:r w:rsidR="00611801">
        <w:t xml:space="preserve"> offsets</w:t>
      </w:r>
      <w:r>
        <w:t xml:space="preserve"> only in the SL-PRS symbols. The power received</w:t>
      </w:r>
      <w:r w:rsidR="00545D09">
        <w:t xml:space="preserve"> on the SL-PRS would be different from that on other symbols causing AGC issues to both the UE receiving the SL-PRS and to FDMed sidelink communications transmissions. </w:t>
      </w:r>
      <w:r w:rsidR="00603F68">
        <w:t xml:space="preserve">Since PSSCH occupies the allocated bandwidth and does not use a comb structure, it is not possible to have all UEs transmit on all symbols in the allocated bandwidth to equalize power across all symbols. </w:t>
      </w:r>
      <w:r w:rsidR="00E71386">
        <w:t xml:space="preserve">Therefore, it is necessary to disallow multiplexing </w:t>
      </w:r>
      <w:r w:rsidR="00BC0153">
        <w:t>SL-PRS transmissions on different comb</w:t>
      </w:r>
      <w:r w:rsidR="00715292">
        <w:t xml:space="preserve"> offsets</w:t>
      </w:r>
      <w:r w:rsidR="00BC0153">
        <w:t xml:space="preserve"> in the shared resource pool.</w:t>
      </w:r>
    </w:p>
    <w:p w14:paraId="0841F3F6" w14:textId="6F36C5FD" w:rsidR="00BC0153" w:rsidRPr="003B3801" w:rsidRDefault="00BC0153" w:rsidP="00BC0153">
      <w:pPr>
        <w:pStyle w:val="Caption"/>
      </w:pPr>
      <w:bookmarkStart w:id="3" w:name="_Toc128123789"/>
      <w:r>
        <w:t xml:space="preserve">Proposal </w:t>
      </w:r>
      <w:fldSimple w:instr=" SEQ Proposal \* ARABIC ">
        <w:r w:rsidR="0015073F">
          <w:rPr>
            <w:noProof/>
          </w:rPr>
          <w:t>3</w:t>
        </w:r>
      </w:fldSimple>
      <w:r w:rsidR="003B11AD">
        <w:t xml:space="preserve">: In </w:t>
      </w:r>
      <w:r w:rsidR="00B56F62">
        <w:t xml:space="preserve">a shared </w:t>
      </w:r>
      <w:r w:rsidR="003B11AD">
        <w:t>resource pool,</w:t>
      </w:r>
      <w:r w:rsidR="005F5573">
        <w:t xml:space="preserve"> different UEs are not allowed to multiplex SL-PRS on different comb</w:t>
      </w:r>
      <w:r w:rsidR="0061684C">
        <w:t xml:space="preserve"> offsets</w:t>
      </w:r>
      <w:r w:rsidR="005F5573">
        <w:t xml:space="preserve"> in the same </w:t>
      </w:r>
      <w:r w:rsidR="00365B3E">
        <w:t>OFDM symbol.</w:t>
      </w:r>
      <w:bookmarkEnd w:id="3"/>
    </w:p>
    <w:p w14:paraId="00DCC249" w14:textId="404DD394" w:rsidR="009C45BA" w:rsidRDefault="009C45BA" w:rsidP="009C45BA">
      <w:pPr>
        <w:rPr>
          <w:lang w:val="en-US"/>
        </w:rPr>
      </w:pPr>
      <w:r>
        <w:rPr>
          <w:lang w:val="en-US"/>
        </w:rPr>
        <w:t xml:space="preserve">Multiple PSSCH DMRS patterns are defined in sidelink with different </w:t>
      </w:r>
      <w:r w:rsidR="00D519D2">
        <w:rPr>
          <w:lang w:val="en-US"/>
        </w:rPr>
        <w:t>spacing between the symbols with DMRS. During the study phase, how to handle DMRS symbols potentially interrupting SL-PRS would be handled. Having discontinuous SL-PRS increases receiver complexity and the number of SL-PRS patterns that the receiver should be able to handle, and is thus undesirable. To address this issue, we propose to limit SL-PRS to contiguous symbols and to not allow SL-PRS to be mapped on symbols with PSSCH DMRS.</w:t>
      </w:r>
    </w:p>
    <w:p w14:paraId="04BAB7C0" w14:textId="0EC4E8B7" w:rsidR="00D519D2" w:rsidRDefault="00D519D2" w:rsidP="00D519D2">
      <w:pPr>
        <w:pStyle w:val="Caption"/>
      </w:pPr>
      <w:bookmarkStart w:id="4" w:name="_Toc128123790"/>
      <w:r>
        <w:t xml:space="preserve">Proposal </w:t>
      </w:r>
      <w:r w:rsidR="002B3543">
        <w:fldChar w:fldCharType="begin"/>
      </w:r>
      <w:r w:rsidR="002B3543">
        <w:instrText xml:space="preserve"> SEQ Proposal \* ARABIC </w:instrText>
      </w:r>
      <w:r w:rsidR="002B3543">
        <w:fldChar w:fldCharType="separate"/>
      </w:r>
      <w:r w:rsidR="0015073F">
        <w:rPr>
          <w:noProof/>
        </w:rPr>
        <w:t>4</w:t>
      </w:r>
      <w:r w:rsidR="002B3543">
        <w:rPr>
          <w:noProof/>
        </w:rPr>
        <w:fldChar w:fldCharType="end"/>
      </w:r>
      <w:r>
        <w:t>: SL-PRS is mapped on contiguous symbols only and is not mapped on symbols with PSSCH DMRS</w:t>
      </w:r>
      <w:r w:rsidR="008A0299">
        <w:t>, i.e. SL-PRS can only be mapped on one set of contiguous symbol either before, between, or after PSSCH DMRS.</w:t>
      </w:r>
      <w:bookmarkEnd w:id="4"/>
    </w:p>
    <w:p w14:paraId="65E75FA1" w14:textId="5CC8FE30" w:rsidR="00003D1F" w:rsidRDefault="00003D1F" w:rsidP="00003D1F">
      <w:pPr>
        <w:rPr>
          <w:lang w:val="en-US"/>
        </w:rPr>
      </w:pPr>
      <w:r>
        <w:rPr>
          <w:lang w:val="en-US"/>
        </w:rPr>
        <w:t xml:space="preserve">As we discuss in later sections, </w:t>
      </w:r>
      <w:r w:rsidR="00C55D93">
        <w:rPr>
          <w:lang w:val="en-US"/>
        </w:rPr>
        <w:t xml:space="preserve">retaining the existing </w:t>
      </w:r>
      <w:r w:rsidR="003A5273">
        <w:rPr>
          <w:lang w:val="en-US"/>
        </w:rPr>
        <w:t>slot structure and physical layer channel enables the reuse of sidelink communication procedures.</w:t>
      </w:r>
    </w:p>
    <w:p w14:paraId="46103466" w14:textId="7247CEFA" w:rsidR="00672214" w:rsidRDefault="00672214" w:rsidP="003B65A3">
      <w:pPr>
        <w:pStyle w:val="Heading2"/>
      </w:pPr>
      <w:r>
        <w:t>Dedicated Resource Pool</w:t>
      </w:r>
    </w:p>
    <w:p w14:paraId="402C24A2" w14:textId="77777777" w:rsidR="00F82771" w:rsidRDefault="00362396" w:rsidP="00362396">
      <w:pPr>
        <w:rPr>
          <w:lang w:val="en-US"/>
        </w:rPr>
      </w:pPr>
      <w:r>
        <w:rPr>
          <w:lang w:val="en-US"/>
        </w:rPr>
        <w:t xml:space="preserve">The dedicated resource pool does not contain legacy UEs </w:t>
      </w:r>
      <w:r w:rsidR="00A7369B">
        <w:rPr>
          <w:lang w:val="en-US"/>
        </w:rPr>
        <w:t xml:space="preserve">and there is no backward compatibility constraint. Therefore, </w:t>
      </w:r>
      <w:r w:rsidR="009441F4">
        <w:rPr>
          <w:lang w:val="en-US"/>
        </w:rPr>
        <w:t>the design could be tailored to maximize resource utilization</w:t>
      </w:r>
      <w:r w:rsidR="00F82771">
        <w:rPr>
          <w:lang w:val="en-US"/>
        </w:rPr>
        <w:t xml:space="preserve"> as we present in this section</w:t>
      </w:r>
      <w:r w:rsidR="009441F4">
        <w:rPr>
          <w:lang w:val="en-US"/>
        </w:rPr>
        <w:t>.</w:t>
      </w:r>
    </w:p>
    <w:p w14:paraId="47DC3A4A" w14:textId="21E39DFF" w:rsidR="00362396" w:rsidRDefault="00DB6CEF" w:rsidP="00362396">
      <w:pPr>
        <w:rPr>
          <w:lang w:val="en-US"/>
        </w:rPr>
      </w:pPr>
      <w:r>
        <w:rPr>
          <w:lang w:val="en-US"/>
        </w:rPr>
        <w:t xml:space="preserve">RAN1 </w:t>
      </w:r>
      <w:r w:rsidR="003B02A8">
        <w:rPr>
          <w:lang w:val="en-US"/>
        </w:rPr>
        <w:t xml:space="preserve">agreed </w:t>
      </w:r>
      <w:r w:rsidR="00F82771">
        <w:rPr>
          <w:lang w:val="en-US"/>
        </w:rPr>
        <w:t xml:space="preserve">that at least </w:t>
      </w:r>
      <w:r w:rsidR="00A514F6">
        <w:rPr>
          <w:lang w:val="en-US"/>
        </w:rPr>
        <w:t xml:space="preserve">SL-PRS </w:t>
      </w:r>
      <w:r w:rsidR="00EE47F1">
        <w:rPr>
          <w:lang w:val="en-US"/>
        </w:rPr>
        <w:t xml:space="preserve">is included in the dedicate resource pool </w:t>
      </w:r>
      <w:r w:rsidR="00DB3C13">
        <w:rPr>
          <w:lang w:val="en-US"/>
        </w:rPr>
        <w:t>with options that no other channel is included, only PSCCH is included, and both</w:t>
      </w:r>
      <w:r w:rsidR="003A52E7">
        <w:rPr>
          <w:lang w:val="en-US"/>
        </w:rPr>
        <w:t xml:space="preserve"> PSCCH and PSSCH are included. RAN1 also agreed that </w:t>
      </w:r>
      <w:r w:rsidR="005F018D">
        <w:rPr>
          <w:lang w:val="en-US"/>
        </w:rPr>
        <w:t>SCI can be used for reserving or indicating SL-PRS resources:</w:t>
      </w:r>
      <w:r w:rsidR="003A52E7">
        <w:rPr>
          <w:lang w:val="en-US"/>
        </w:rPr>
        <w:t xml:space="preserve"> </w:t>
      </w:r>
    </w:p>
    <w:tbl>
      <w:tblPr>
        <w:tblStyle w:val="TableGrid"/>
        <w:tblW w:w="0" w:type="auto"/>
        <w:tblLook w:val="04A0" w:firstRow="1" w:lastRow="0" w:firstColumn="1" w:lastColumn="0" w:noHBand="0" w:noVBand="1"/>
      </w:tblPr>
      <w:tblGrid>
        <w:gridCol w:w="9629"/>
      </w:tblGrid>
      <w:tr w:rsidR="00E96A93" w14:paraId="62697322" w14:textId="77777777" w:rsidTr="00E96A93">
        <w:tc>
          <w:tcPr>
            <w:tcW w:w="9629" w:type="dxa"/>
          </w:tcPr>
          <w:p w14:paraId="0272C568" w14:textId="77777777" w:rsidR="00E96A93" w:rsidRPr="00E96A93" w:rsidRDefault="00E96A93" w:rsidP="00E96A93">
            <w:pPr>
              <w:pStyle w:val="0Maintext0"/>
              <w:ind w:firstLine="0"/>
              <w:rPr>
                <w:rFonts w:ascii="Times New Roman" w:hAnsi="Times New Roman"/>
                <w:bCs/>
                <w:lang w:eastAsia="zh-CN"/>
              </w:rPr>
            </w:pPr>
            <w:r w:rsidRPr="00E96A93">
              <w:rPr>
                <w:rFonts w:ascii="Times New Roman" w:hAnsi="Times New Roman"/>
                <w:bCs/>
                <w:highlight w:val="green"/>
                <w:lang w:eastAsia="zh-CN"/>
              </w:rPr>
              <w:t>Agreement</w:t>
            </w:r>
          </w:p>
          <w:p w14:paraId="080BE965" w14:textId="77777777" w:rsidR="00E96A93" w:rsidRPr="00E96A93" w:rsidRDefault="00E96A93" w:rsidP="00E96A93">
            <w:r w:rsidRPr="00E96A93">
              <w:t>For a dedicated resource pool for SL positioning,</w:t>
            </w:r>
          </w:p>
          <w:p w14:paraId="4C058D87" w14:textId="77777777" w:rsidR="00E96A93" w:rsidRPr="00E96A93" w:rsidRDefault="00E96A93" w:rsidP="00E96A93">
            <w:pPr>
              <w:numPr>
                <w:ilvl w:val="0"/>
                <w:numId w:val="31"/>
              </w:numPr>
              <w:spacing w:after="160" w:line="252" w:lineRule="auto"/>
              <w:contextualSpacing/>
              <w:jc w:val="left"/>
              <w:rPr>
                <w:rFonts w:eastAsia="SimSun"/>
              </w:rPr>
            </w:pPr>
            <w:r w:rsidRPr="00E96A93">
              <w:rPr>
                <w:rFonts w:eastAsia="SimSun"/>
              </w:rPr>
              <w:t>With regards to which channels can be included in the resource pool in addition to SL-PRS, consider the following options:</w:t>
            </w:r>
          </w:p>
          <w:p w14:paraId="0C13499B"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1: No other channel can be included beyond SL-PRS</w:t>
            </w:r>
          </w:p>
          <w:p w14:paraId="5AFB7422"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2: PSCCH which carries SCI associated with SL-PRS transmission(s) is included</w:t>
            </w:r>
          </w:p>
          <w:p w14:paraId="7BA3185C"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3: PSCCH which carries SCI associated with SL-PRS transmission(s) and PSSCH associated with SL-PRS transmission(s) are included</w:t>
            </w:r>
          </w:p>
          <w:p w14:paraId="3AEA83B9" w14:textId="77777777" w:rsidR="00E96A93" w:rsidRPr="00E96A93" w:rsidRDefault="00E96A93" w:rsidP="00E96A93">
            <w:pPr>
              <w:numPr>
                <w:ilvl w:val="2"/>
                <w:numId w:val="31"/>
              </w:numPr>
              <w:spacing w:after="0" w:line="252" w:lineRule="auto"/>
              <w:contextualSpacing/>
              <w:jc w:val="left"/>
              <w:rPr>
                <w:rFonts w:eastAsia="SimSun"/>
              </w:rPr>
            </w:pPr>
            <w:r w:rsidRPr="00E96A93">
              <w:rPr>
                <w:rFonts w:eastAsia="SimSun"/>
              </w:rPr>
              <w:t>FFS: Details</w:t>
            </w:r>
          </w:p>
          <w:p w14:paraId="51CC2540" w14:textId="77777777" w:rsidR="00E96A93" w:rsidRPr="00E96A93" w:rsidRDefault="00E96A93" w:rsidP="00E96A93">
            <w:pPr>
              <w:numPr>
                <w:ilvl w:val="2"/>
                <w:numId w:val="31"/>
              </w:numPr>
              <w:spacing w:after="0" w:line="252" w:lineRule="auto"/>
              <w:contextualSpacing/>
              <w:jc w:val="left"/>
              <w:rPr>
                <w:rFonts w:eastAsia="SimSun"/>
              </w:rPr>
            </w:pPr>
            <w:r w:rsidRPr="00E96A93">
              <w:rPr>
                <w:rFonts w:eastAsia="SimSun"/>
              </w:rPr>
              <w:t>FFS: definition of PSSCH associated with SL-PRS transmission(s)</w:t>
            </w:r>
          </w:p>
          <w:p w14:paraId="2D059567" w14:textId="77777777" w:rsidR="00E96A93" w:rsidRDefault="00E96A93" w:rsidP="00362396">
            <w:pPr>
              <w:numPr>
                <w:ilvl w:val="0"/>
                <w:numId w:val="31"/>
              </w:numPr>
              <w:spacing w:after="0" w:line="252" w:lineRule="auto"/>
              <w:contextualSpacing/>
              <w:jc w:val="left"/>
              <w:rPr>
                <w:rFonts w:eastAsia="SimSun"/>
              </w:rPr>
            </w:pPr>
            <w:r w:rsidRPr="00E96A93">
              <w:rPr>
                <w:rFonts w:eastAsia="SimSun"/>
              </w:rPr>
              <w:t>Note: Companies are encouraged to provide their analysis and views on the above</w:t>
            </w:r>
          </w:p>
          <w:p w14:paraId="499F02C5" w14:textId="77777777" w:rsidR="00DE708A" w:rsidRDefault="00DE708A" w:rsidP="00DE708A">
            <w:pPr>
              <w:spacing w:after="0" w:line="252" w:lineRule="auto"/>
              <w:contextualSpacing/>
              <w:jc w:val="left"/>
              <w:rPr>
                <w:rFonts w:eastAsia="SimSun"/>
              </w:rPr>
            </w:pPr>
          </w:p>
          <w:p w14:paraId="743A2218" w14:textId="77777777" w:rsidR="00DE708A" w:rsidRPr="00DE708A" w:rsidRDefault="00DE708A" w:rsidP="00DE708A">
            <w:pPr>
              <w:pStyle w:val="0Maintext0"/>
              <w:ind w:firstLine="0"/>
              <w:rPr>
                <w:rFonts w:ascii="Times New Roman" w:hAnsi="Times New Roman"/>
                <w:bCs/>
                <w:lang w:eastAsia="zh-CN"/>
              </w:rPr>
            </w:pPr>
            <w:r w:rsidRPr="00DE708A">
              <w:rPr>
                <w:rFonts w:ascii="Times New Roman" w:hAnsi="Times New Roman"/>
                <w:bCs/>
                <w:highlight w:val="green"/>
                <w:lang w:eastAsia="zh-CN"/>
              </w:rPr>
              <w:t>Agreement</w:t>
            </w:r>
          </w:p>
          <w:p w14:paraId="753AED73" w14:textId="77777777" w:rsidR="00DE708A" w:rsidRPr="00DE708A" w:rsidRDefault="00DE708A" w:rsidP="00DE708A">
            <w:r w:rsidRPr="00DE708A">
              <w:t>With regards to SL signaling of the reservation/indication of SL-PRS resource(s) for dedicated resource pool and shared resource pool (if supported) for positioning:</w:t>
            </w:r>
          </w:p>
          <w:p w14:paraId="70B442FF" w14:textId="77777777" w:rsidR="00DE708A" w:rsidRPr="00DE708A" w:rsidRDefault="00DE708A" w:rsidP="00DE708A">
            <w:pPr>
              <w:numPr>
                <w:ilvl w:val="0"/>
                <w:numId w:val="31"/>
              </w:numPr>
              <w:spacing w:after="160" w:line="252" w:lineRule="auto"/>
              <w:contextualSpacing/>
              <w:jc w:val="left"/>
              <w:rPr>
                <w:rFonts w:eastAsia="SimSun"/>
              </w:rPr>
            </w:pPr>
            <w:r w:rsidRPr="00DE708A">
              <w:rPr>
                <w:rFonts w:eastAsia="SimSun"/>
              </w:rPr>
              <w:t>Option A.1: SCI can be used for reserving/indicating one or more SL-PRS resource(s)</w:t>
            </w:r>
          </w:p>
          <w:p w14:paraId="4E7B11F8" w14:textId="77777777" w:rsidR="00DE708A" w:rsidRPr="00DE708A" w:rsidRDefault="00DE708A" w:rsidP="00DE708A">
            <w:pPr>
              <w:numPr>
                <w:ilvl w:val="1"/>
                <w:numId w:val="31"/>
              </w:numPr>
              <w:spacing w:after="0" w:line="252" w:lineRule="auto"/>
              <w:contextualSpacing/>
              <w:jc w:val="left"/>
              <w:rPr>
                <w:rFonts w:eastAsia="SimSun"/>
              </w:rPr>
            </w:pPr>
            <w:r w:rsidRPr="00DE708A">
              <w:rPr>
                <w:rFonts w:eastAsia="SimSun"/>
              </w:rPr>
              <w:t>Note: This does NOT mean that only SCI is being used. There can still be higher layer signaling for the purpose of indicating a part of SL-PRS configuration.</w:t>
            </w:r>
          </w:p>
          <w:p w14:paraId="626D2F22" w14:textId="77777777" w:rsidR="00DE708A" w:rsidRPr="00DE708A" w:rsidRDefault="00DE708A" w:rsidP="00DE708A">
            <w:pPr>
              <w:numPr>
                <w:ilvl w:val="1"/>
                <w:numId w:val="31"/>
              </w:numPr>
              <w:spacing w:after="0" w:line="252" w:lineRule="auto"/>
              <w:contextualSpacing/>
              <w:jc w:val="left"/>
              <w:rPr>
                <w:rFonts w:eastAsia="SimSun"/>
              </w:rPr>
            </w:pPr>
            <w:r w:rsidRPr="00DE708A">
              <w:rPr>
                <w:rFonts w:eastAsia="SimSun"/>
              </w:rPr>
              <w:t>FFS: Whether SCI is single stage SCI or two stage SCI</w:t>
            </w:r>
          </w:p>
          <w:p w14:paraId="11B6159A" w14:textId="77777777" w:rsidR="00DE708A" w:rsidRPr="00DE708A" w:rsidRDefault="00DE708A" w:rsidP="00DE708A">
            <w:pPr>
              <w:numPr>
                <w:ilvl w:val="0"/>
                <w:numId w:val="31"/>
              </w:numPr>
              <w:spacing w:after="160" w:line="252" w:lineRule="auto"/>
              <w:contextualSpacing/>
              <w:jc w:val="left"/>
              <w:rPr>
                <w:rFonts w:eastAsia="SimSun"/>
              </w:rPr>
            </w:pPr>
            <w:r w:rsidRPr="00DE708A">
              <w:rPr>
                <w:rFonts w:eastAsia="SimSun"/>
              </w:rPr>
              <w:t>FFS: SL-MAC-CE or other higher-layer signaling reservation/indication</w:t>
            </w:r>
          </w:p>
          <w:p w14:paraId="246F71B2" w14:textId="4A4163D0" w:rsidR="00DE708A" w:rsidRPr="00E96A93" w:rsidRDefault="00DE708A" w:rsidP="00DE708A">
            <w:pPr>
              <w:spacing w:after="0" w:line="252" w:lineRule="auto"/>
              <w:contextualSpacing/>
              <w:jc w:val="left"/>
              <w:rPr>
                <w:rFonts w:eastAsia="SimSun"/>
              </w:rPr>
            </w:pPr>
          </w:p>
        </w:tc>
      </w:tr>
    </w:tbl>
    <w:p w14:paraId="4C3E1AEE" w14:textId="70EAA79D" w:rsidR="00E96A93" w:rsidRDefault="00E96A93" w:rsidP="00362396">
      <w:pPr>
        <w:rPr>
          <w:lang w:val="en-US"/>
        </w:rPr>
      </w:pPr>
    </w:p>
    <w:p w14:paraId="752D2D11" w14:textId="16C9E638" w:rsidR="00D6075F" w:rsidRDefault="00D6075F" w:rsidP="00362396">
      <w:pPr>
        <w:rPr>
          <w:lang w:val="en-US"/>
        </w:rPr>
      </w:pPr>
      <w:r>
        <w:rPr>
          <w:lang w:val="en-US"/>
        </w:rPr>
        <w:t xml:space="preserve">Given the agreement to use SCI for </w:t>
      </w:r>
      <w:r w:rsidR="00C328A1">
        <w:rPr>
          <w:lang w:val="en-US"/>
        </w:rPr>
        <w:t xml:space="preserve">reserving or indicating SL-PRS resources and the lack of standalone control transmissions in sidelink, SL-PRS transmissions should be accompanied by </w:t>
      </w:r>
      <w:r w:rsidR="00875352">
        <w:rPr>
          <w:lang w:val="en-US"/>
        </w:rPr>
        <w:t>PSCCH in the dedicated resources. If there are cases where only higher-layer reservations are used, then SL-PRS could be transmitted without PSCCH</w:t>
      </w:r>
      <w:r w:rsidR="00867852">
        <w:rPr>
          <w:lang w:val="en-US"/>
        </w:rPr>
        <w:t>.</w:t>
      </w:r>
    </w:p>
    <w:p w14:paraId="5A91A598" w14:textId="6D09D76C" w:rsidR="00A36E1A" w:rsidRDefault="00A36E1A" w:rsidP="00362396">
      <w:pPr>
        <w:rPr>
          <w:lang w:val="en-US"/>
        </w:rPr>
      </w:pPr>
      <w:r>
        <w:rPr>
          <w:lang w:val="en-US"/>
        </w:rPr>
        <w:t>Both SCI-2 and SL-SCH require the presence of PSSCH DMRS. Hence</w:t>
      </w:r>
      <w:r w:rsidR="00E87357">
        <w:rPr>
          <w:lang w:val="en-US"/>
        </w:rPr>
        <w:t>,</w:t>
      </w:r>
      <w:r>
        <w:rPr>
          <w:lang w:val="en-US"/>
        </w:rPr>
        <w:t xml:space="preserve"> including either </w:t>
      </w:r>
      <w:r w:rsidR="00125462">
        <w:rPr>
          <w:lang w:val="en-US"/>
        </w:rPr>
        <w:t xml:space="preserve">significantly reduces the number of symbols available for SL-PRS </w:t>
      </w:r>
      <w:r w:rsidR="00227664">
        <w:rPr>
          <w:lang w:val="en-US"/>
        </w:rPr>
        <w:t xml:space="preserve">in a slot, negating the primary </w:t>
      </w:r>
      <w:r w:rsidR="00E87357">
        <w:rPr>
          <w:lang w:val="en-US"/>
        </w:rPr>
        <w:t xml:space="preserve">benefit of having a dedicated resource pool. Based on the </w:t>
      </w:r>
      <w:r w:rsidR="009C200C">
        <w:rPr>
          <w:lang w:val="en-US"/>
        </w:rPr>
        <w:t>above, we propose to only include PSCCH and SL-PRS in the dedicated resource pool (Option 2).</w:t>
      </w:r>
      <w:r w:rsidR="004C5DB1">
        <w:rPr>
          <w:lang w:val="en-US"/>
        </w:rPr>
        <w:t xml:space="preserve"> </w:t>
      </w:r>
      <w:r w:rsidR="00542839">
        <w:rPr>
          <w:lang w:val="en-US"/>
        </w:rPr>
        <w:fldChar w:fldCharType="begin"/>
      </w:r>
      <w:r w:rsidR="00542839">
        <w:rPr>
          <w:lang w:val="en-US"/>
        </w:rPr>
        <w:instrText xml:space="preserve"> REF _Ref127471562 \h </w:instrText>
      </w:r>
      <w:r w:rsidR="00542839">
        <w:rPr>
          <w:lang w:val="en-US"/>
        </w:rPr>
      </w:r>
      <w:r w:rsidR="00542839">
        <w:rPr>
          <w:lang w:val="en-US"/>
        </w:rPr>
        <w:fldChar w:fldCharType="separate"/>
      </w:r>
      <w:r w:rsidR="00542839">
        <w:t xml:space="preserve">Figure </w:t>
      </w:r>
      <w:r w:rsidR="00542839">
        <w:rPr>
          <w:noProof/>
        </w:rPr>
        <w:t>2</w:t>
      </w:r>
      <w:r w:rsidR="00542839">
        <w:rPr>
          <w:lang w:val="en-US"/>
        </w:rPr>
        <w:fldChar w:fldCharType="end"/>
      </w:r>
      <w:r w:rsidR="00542839">
        <w:rPr>
          <w:lang w:val="en-US"/>
        </w:rPr>
        <w:t xml:space="preserve"> illustrates the corresponding slot structure.</w:t>
      </w:r>
    </w:p>
    <w:p w14:paraId="522B3813" w14:textId="5E9C732E" w:rsidR="009C200C" w:rsidRDefault="009C200C" w:rsidP="009C200C">
      <w:pPr>
        <w:pStyle w:val="Caption"/>
        <w:rPr>
          <w:rFonts w:eastAsia="SimSun"/>
        </w:rPr>
      </w:pPr>
      <w:bookmarkStart w:id="5" w:name="_Toc128123791"/>
      <w:r>
        <w:t xml:space="preserve">Proposal </w:t>
      </w:r>
      <w:fldSimple w:instr=" SEQ Proposal \* ARABIC ">
        <w:r w:rsidR="0015073F">
          <w:rPr>
            <w:noProof/>
          </w:rPr>
          <w:t>5</w:t>
        </w:r>
      </w:fldSimple>
      <w:r>
        <w:t xml:space="preserve">: </w:t>
      </w:r>
      <w:r w:rsidR="00774198">
        <w:t xml:space="preserve">Only SL-PRS and </w:t>
      </w:r>
      <w:r w:rsidR="00774198" w:rsidRPr="00E96A93">
        <w:rPr>
          <w:rFonts w:eastAsia="SimSun"/>
        </w:rPr>
        <w:t xml:space="preserve">PSCCH which carries SCI associated with SL-PRS transmission(s) </w:t>
      </w:r>
      <w:r w:rsidR="00774198">
        <w:rPr>
          <w:rFonts w:eastAsia="SimSun"/>
        </w:rPr>
        <w:t>are</w:t>
      </w:r>
      <w:r w:rsidR="00774198" w:rsidRPr="00E96A93">
        <w:rPr>
          <w:rFonts w:eastAsia="SimSun"/>
        </w:rPr>
        <w:t xml:space="preserve"> included</w:t>
      </w:r>
      <w:r w:rsidR="00774198">
        <w:rPr>
          <w:rFonts w:eastAsia="SimSun"/>
        </w:rPr>
        <w:t xml:space="preserve"> in the dedicate</w:t>
      </w:r>
      <w:r w:rsidR="00712BC1">
        <w:rPr>
          <w:rFonts w:eastAsia="SimSun"/>
        </w:rPr>
        <w:t>d</w:t>
      </w:r>
      <w:r w:rsidR="00774198">
        <w:rPr>
          <w:rFonts w:eastAsia="SimSun"/>
        </w:rPr>
        <w:t xml:space="preserve"> resource pool.</w:t>
      </w:r>
      <w:bookmarkEnd w:id="5"/>
    </w:p>
    <w:p w14:paraId="58796511" w14:textId="7BD0E538" w:rsidR="00774198" w:rsidRDefault="004C5DB1" w:rsidP="00542839">
      <w:pPr>
        <w:jc w:val="center"/>
        <w:rPr>
          <w:lang w:val="en-US"/>
        </w:rPr>
      </w:pPr>
      <w:r>
        <w:rPr>
          <w:noProof/>
          <w:lang w:val="en-US"/>
        </w:rPr>
        <w:drawing>
          <wp:inline distT="0" distB="0" distL="0" distR="0" wp14:anchorId="03FFDE35" wp14:editId="6F5F2ECD">
            <wp:extent cx="2149149" cy="68921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4943" cy="697484"/>
                    </a:xfrm>
                    <a:prstGeom prst="rect">
                      <a:avLst/>
                    </a:prstGeom>
                    <a:noFill/>
                  </pic:spPr>
                </pic:pic>
              </a:graphicData>
            </a:graphic>
          </wp:inline>
        </w:drawing>
      </w:r>
    </w:p>
    <w:p w14:paraId="17F684B1" w14:textId="022D7091" w:rsidR="004C5DB1" w:rsidRDefault="004C5DB1" w:rsidP="00542839">
      <w:pPr>
        <w:pStyle w:val="Caption"/>
        <w:jc w:val="center"/>
      </w:pPr>
      <w:bookmarkStart w:id="6" w:name="_Ref127471562"/>
      <w:r>
        <w:t xml:space="preserve">Figure </w:t>
      </w:r>
      <w:fldSimple w:instr=" SEQ Figure \* ARABIC ">
        <w:r>
          <w:rPr>
            <w:noProof/>
          </w:rPr>
          <w:t>2</w:t>
        </w:r>
      </w:fldSimple>
      <w:bookmarkEnd w:id="6"/>
      <w:r w:rsidR="00542839">
        <w:t xml:space="preserve"> Slot structure in a dedicated resource pool.</w:t>
      </w:r>
    </w:p>
    <w:p w14:paraId="615314A9" w14:textId="2030C75D" w:rsidR="009E0955" w:rsidRPr="009E0955" w:rsidRDefault="009E0955" w:rsidP="009E0955">
      <w:r>
        <w:t>The proposed absence of PSSCH in the dedicated resource pool resolves one of the largest obstacles to multiplexing SL-PRS from multiple UEs on different comb offsets. We propose to support such mul</w:t>
      </w:r>
      <w:r w:rsidR="00697709">
        <w:t>tiplexing in the dedicated resource pool.</w:t>
      </w:r>
    </w:p>
    <w:p w14:paraId="3F77A733" w14:textId="1128D836" w:rsidR="00AC392C" w:rsidRPr="00AC392C" w:rsidRDefault="00CF183A" w:rsidP="00CF183A">
      <w:pPr>
        <w:pStyle w:val="Caption"/>
        <w:rPr>
          <w:lang w:val="en-US"/>
        </w:rPr>
      </w:pPr>
      <w:bookmarkStart w:id="7" w:name="_Toc128123792"/>
      <w:r>
        <w:t xml:space="preserve">Proposal </w:t>
      </w:r>
      <w:fldSimple w:instr=" SEQ Proposal \* ARABIC ">
        <w:r w:rsidR="0015073F">
          <w:rPr>
            <w:noProof/>
          </w:rPr>
          <w:t>6</w:t>
        </w:r>
      </w:fldSimple>
      <w:r>
        <w:t xml:space="preserve">: </w:t>
      </w:r>
      <w:r w:rsidR="009E0955">
        <w:t xml:space="preserve">In the dedicated resource pool, </w:t>
      </w:r>
      <w:r w:rsidR="0061684C">
        <w:t>SL-PRS t</w:t>
      </w:r>
      <w:r>
        <w:t>ransmissions from different UEs can be multiplexed on different c</w:t>
      </w:r>
      <w:r w:rsidR="0061684C">
        <w:t xml:space="preserve">omb offsets in SL-PRS </w:t>
      </w:r>
      <w:r w:rsidR="000247E8">
        <w:t xml:space="preserve">if </w:t>
      </w:r>
      <w:r w:rsidR="004D482C">
        <w:t>they fully overlap in time and frequency.</w:t>
      </w:r>
      <w:bookmarkEnd w:id="7"/>
    </w:p>
    <w:p w14:paraId="070444F0" w14:textId="36C6541D" w:rsidR="00AD7F48" w:rsidRDefault="00AD7F48" w:rsidP="00AD7F48">
      <w:pPr>
        <w:pStyle w:val="Heading1"/>
        <w:rPr>
          <w:lang w:val="en-US"/>
        </w:rPr>
      </w:pPr>
      <w:r>
        <w:rPr>
          <w:lang w:val="en-US"/>
        </w:rPr>
        <w:t xml:space="preserve">Resource </w:t>
      </w:r>
      <w:r w:rsidR="008A7ABB">
        <w:rPr>
          <w:lang w:val="en-US"/>
        </w:rPr>
        <w:t>Allocation</w:t>
      </w:r>
      <w:r>
        <w:rPr>
          <w:lang w:val="en-US"/>
        </w:rPr>
        <w:t xml:space="preserve"> Procedure</w:t>
      </w:r>
    </w:p>
    <w:p w14:paraId="1EBE5952" w14:textId="2AE5503C" w:rsidR="00125462" w:rsidRDefault="00125462" w:rsidP="00125462">
      <w:pPr>
        <w:pStyle w:val="Heading2"/>
      </w:pPr>
      <w:r>
        <w:t>Resource Definition</w:t>
      </w:r>
    </w:p>
    <w:p w14:paraId="3A43C77E" w14:textId="767BC6E9" w:rsidR="00CE61B5" w:rsidRDefault="00CE61B5" w:rsidP="00CE61B5">
      <w:pPr>
        <w:rPr>
          <w:lang w:val="en-US"/>
        </w:rPr>
      </w:pPr>
      <w:r>
        <w:rPr>
          <w:lang w:val="en-US"/>
        </w:rPr>
        <w:t xml:space="preserve">In the shared resource pool, and </w:t>
      </w:r>
      <w:r w:rsidR="00F74ED4">
        <w:rPr>
          <w:lang w:val="en-US"/>
        </w:rPr>
        <w:t xml:space="preserve">supported by disallowing multiplexing SL-PRS from different UEs on </w:t>
      </w:r>
      <w:r w:rsidR="009F1364">
        <w:rPr>
          <w:lang w:val="en-US"/>
        </w:rPr>
        <w:t>different</w:t>
      </w:r>
      <w:r w:rsidR="00F74ED4">
        <w:rPr>
          <w:lang w:val="en-US"/>
        </w:rPr>
        <w:t xml:space="preserve"> comb</w:t>
      </w:r>
      <w:r w:rsidR="009F1364">
        <w:rPr>
          <w:lang w:val="en-US"/>
        </w:rPr>
        <w:t xml:space="preserve"> offsets, the existing resource definition can be used: </w:t>
      </w:r>
      <w:r w:rsidR="00E94388">
        <w:rPr>
          <w:lang w:val="en-US"/>
        </w:rPr>
        <w:t>a resource is a set of contiguous sub-channels in a slot</w:t>
      </w:r>
      <w:r w:rsidR="00025013">
        <w:rPr>
          <w:lang w:val="en-US"/>
        </w:rPr>
        <w:t xml:space="preserve"> as defined in </w:t>
      </w:r>
      <w:r w:rsidR="000205C2">
        <w:rPr>
          <w:lang w:val="en-US"/>
        </w:rPr>
        <w:fldChar w:fldCharType="begin"/>
      </w:r>
      <w:r w:rsidR="000205C2">
        <w:rPr>
          <w:lang w:val="en-US"/>
        </w:rPr>
        <w:instrText xml:space="preserve"> REF _Ref127516612 \r \h </w:instrText>
      </w:r>
      <w:r w:rsidR="000205C2">
        <w:rPr>
          <w:lang w:val="en-US"/>
        </w:rPr>
      </w:r>
      <w:r w:rsidR="000205C2">
        <w:rPr>
          <w:lang w:val="en-US"/>
        </w:rPr>
        <w:fldChar w:fldCharType="separate"/>
      </w:r>
      <w:r w:rsidR="000205C2">
        <w:rPr>
          <w:lang w:val="en-US"/>
        </w:rPr>
        <w:t>[6]</w:t>
      </w:r>
      <w:r w:rsidR="000205C2">
        <w:rPr>
          <w:lang w:val="en-US"/>
        </w:rPr>
        <w:fldChar w:fldCharType="end"/>
      </w:r>
      <w:r w:rsidR="000205C2">
        <w:rPr>
          <w:lang w:val="en-US"/>
        </w:rPr>
        <w:t>.</w:t>
      </w:r>
    </w:p>
    <w:p w14:paraId="058ACAFD" w14:textId="263EB261" w:rsidR="00E45A11" w:rsidRDefault="00E45A11" w:rsidP="00E45A11">
      <w:pPr>
        <w:pStyle w:val="Caption"/>
      </w:pPr>
      <w:bookmarkStart w:id="8" w:name="_Toc128123793"/>
      <w:r>
        <w:t xml:space="preserve">Proposal </w:t>
      </w:r>
      <w:fldSimple w:instr=" SEQ Proposal \* ARABIC ">
        <w:r w:rsidR="0015073F">
          <w:rPr>
            <w:noProof/>
          </w:rPr>
          <w:t>7</w:t>
        </w:r>
      </w:fldSimple>
      <w:r>
        <w:t>: In a shared resource pool, a resource used for transmission of SL-PRS is defined as a set of contiguous sub-channels in a slot, i.e. the existing definition for a sidelink resource is reused.</w:t>
      </w:r>
      <w:bookmarkEnd w:id="8"/>
    </w:p>
    <w:p w14:paraId="697C3FAF" w14:textId="6871A210" w:rsidR="0074173B" w:rsidRDefault="0074173B" w:rsidP="0074173B">
      <w:r>
        <w:t>In the dedicated resource pool, the resource definition should be updated to incorporate the comb offset used</w:t>
      </w:r>
      <w:r w:rsidR="003D2274">
        <w:t xml:space="preserve">, accommodating multiplexing of multiple UEs on different </w:t>
      </w:r>
      <w:r w:rsidR="006E36C5">
        <w:t xml:space="preserve">comb </w:t>
      </w:r>
      <w:r w:rsidR="003D2274">
        <w:t>offsets.</w:t>
      </w:r>
    </w:p>
    <w:p w14:paraId="6A631D05" w14:textId="349E6F1E" w:rsidR="006E36C5" w:rsidRDefault="006E36C5" w:rsidP="006E36C5">
      <w:pPr>
        <w:pStyle w:val="Caption"/>
      </w:pPr>
      <w:bookmarkStart w:id="9" w:name="_Toc128123794"/>
      <w:r>
        <w:t xml:space="preserve">Proposal </w:t>
      </w:r>
      <w:fldSimple w:instr=" SEQ Proposal \* ARABIC ">
        <w:r w:rsidR="0015073F">
          <w:rPr>
            <w:noProof/>
          </w:rPr>
          <w:t>8</w:t>
        </w:r>
      </w:fldSimple>
      <w:r>
        <w:t xml:space="preserve">: In a dedicated resource </w:t>
      </w:r>
      <w:r w:rsidR="00E63E37">
        <w:t xml:space="preserve">pool, </w:t>
      </w:r>
      <w:r w:rsidR="00135A2F">
        <w:t>a resource used for transmission of SL-PRS is defined as</w:t>
      </w:r>
      <w:r w:rsidR="004D5E2E" w:rsidRPr="004D5E2E">
        <w:t xml:space="preserve"> </w:t>
      </w:r>
      <w:r w:rsidR="004D5E2E">
        <w:t>a set of contiguous sub-channels in a slot with a comb offset.</w:t>
      </w:r>
      <w:bookmarkEnd w:id="9"/>
    </w:p>
    <w:p w14:paraId="7E1403C0" w14:textId="4AD0DC9A" w:rsidR="0016448C" w:rsidRDefault="0016448C" w:rsidP="0016448C">
      <w:r>
        <w:t xml:space="preserve">To </w:t>
      </w:r>
      <w:r w:rsidR="00060C67">
        <w:t>enable multiple transmissions with SL-PRS in a slot duration</w:t>
      </w:r>
      <w:r w:rsidR="001B5364">
        <w:t xml:space="preserve">, the multiple </w:t>
      </w:r>
      <w:r w:rsidR="003742BF">
        <w:t xml:space="preserve">starting occasions </w:t>
      </w:r>
      <w:r w:rsidR="005A7397">
        <w:t>design from SL-U could be considered once more details are decided.</w:t>
      </w:r>
    </w:p>
    <w:p w14:paraId="6D2A6183" w14:textId="486010BF" w:rsidR="005A7397" w:rsidRPr="0016448C" w:rsidRDefault="005A7397" w:rsidP="005A7397">
      <w:pPr>
        <w:pStyle w:val="Caption"/>
      </w:pPr>
      <w:bookmarkStart w:id="10" w:name="_Toc127524892"/>
      <w:r>
        <w:t xml:space="preserve">Observation </w:t>
      </w:r>
      <w:fldSimple w:instr=" SEQ Observation \* ARABIC ">
        <w:r>
          <w:rPr>
            <w:noProof/>
          </w:rPr>
          <w:t>1</w:t>
        </w:r>
      </w:fldSimple>
      <w:r>
        <w:t>:</w:t>
      </w:r>
      <w:r w:rsidRPr="005A7397">
        <w:t xml:space="preserve"> To enable multiple transmissions with SL-PRS in a slot duration, the multiple starting occasions design from SL-U could be considered once more details are decided.</w:t>
      </w:r>
      <w:bookmarkEnd w:id="10"/>
    </w:p>
    <w:p w14:paraId="082F8345" w14:textId="028B8E70" w:rsidR="00AD7F48" w:rsidRDefault="00AD7F48" w:rsidP="00AD7F48">
      <w:pPr>
        <w:pStyle w:val="Heading2"/>
      </w:pPr>
      <w:r>
        <w:t xml:space="preserve">Scheme 1 Resource </w:t>
      </w:r>
      <w:r w:rsidR="008A7ABB">
        <w:t>Allocation</w:t>
      </w:r>
    </w:p>
    <w:p w14:paraId="622737F9" w14:textId="19EB6B03" w:rsidR="00702A64" w:rsidRDefault="004D4DB9" w:rsidP="00702A64">
      <w:pPr>
        <w:rPr>
          <w:lang w:val="en-US"/>
        </w:rPr>
      </w:pPr>
      <w:r>
        <w:rPr>
          <w:lang w:val="en-US"/>
        </w:rPr>
        <w:t>There are two potential options for</w:t>
      </w:r>
      <w:r w:rsidR="00702A64">
        <w:rPr>
          <w:lang w:val="en-US"/>
        </w:rPr>
        <w:t xml:space="preserve"> assigning </w:t>
      </w:r>
      <w:r>
        <w:rPr>
          <w:lang w:val="en-US"/>
        </w:rPr>
        <w:t xml:space="preserve">SL-PRS </w:t>
      </w:r>
      <w:r w:rsidR="00702A64">
        <w:rPr>
          <w:lang w:val="en-US"/>
        </w:rPr>
        <w:t xml:space="preserve">resources to </w:t>
      </w:r>
      <w:r>
        <w:rPr>
          <w:lang w:val="en-US"/>
        </w:rPr>
        <w:t>UEs in Scheme 1:</w:t>
      </w:r>
    </w:p>
    <w:p w14:paraId="777517FF" w14:textId="0C57F7DF" w:rsidR="004D4DB9" w:rsidRDefault="004D4DB9" w:rsidP="004D4DB9">
      <w:pPr>
        <w:pStyle w:val="ListParagraph"/>
        <w:numPr>
          <w:ilvl w:val="0"/>
          <w:numId w:val="31"/>
        </w:numPr>
        <w:rPr>
          <w:lang w:val="en-US"/>
        </w:rPr>
      </w:pPr>
      <w:r>
        <w:rPr>
          <w:lang w:val="en-US"/>
        </w:rPr>
        <w:t>gNB indicates the assigned resources to the UEs via DCI or RRC signaling, or</w:t>
      </w:r>
    </w:p>
    <w:p w14:paraId="25CCDA2A" w14:textId="37363AA5" w:rsidR="004D4DB9" w:rsidRDefault="004D4DB9" w:rsidP="004D4DB9">
      <w:pPr>
        <w:pStyle w:val="ListParagraph"/>
        <w:numPr>
          <w:ilvl w:val="0"/>
          <w:numId w:val="31"/>
        </w:numPr>
        <w:rPr>
          <w:lang w:val="en-US"/>
        </w:rPr>
      </w:pPr>
      <w:r>
        <w:rPr>
          <w:lang w:val="en-US"/>
        </w:rPr>
        <w:t>LMF indicates the assigned resources to the UEs via higher-layer messaging, e.g. SLPP.</w:t>
      </w:r>
    </w:p>
    <w:p w14:paraId="36749812" w14:textId="489A1D83" w:rsidR="004D4DB9" w:rsidRDefault="00333D78" w:rsidP="004D4DB9">
      <w:pPr>
        <w:rPr>
          <w:lang w:val="en-US"/>
        </w:rPr>
      </w:pPr>
      <w:r>
        <w:rPr>
          <w:lang w:val="en-US"/>
        </w:rPr>
        <w:t xml:space="preserve">Indication from the </w:t>
      </w:r>
      <w:r w:rsidR="008A7ABB">
        <w:rPr>
          <w:lang w:val="en-US"/>
        </w:rPr>
        <w:t xml:space="preserve">gNB </w:t>
      </w:r>
      <w:r w:rsidR="00BC7A01">
        <w:rPr>
          <w:lang w:val="en-US"/>
        </w:rPr>
        <w:t xml:space="preserve">or the LMF work similarly when UEs are connected to the same gNB or the same network. However, when UEs that are exchanging positioning signals are </w:t>
      </w:r>
      <w:r w:rsidR="00E932BF">
        <w:rPr>
          <w:lang w:val="en-US"/>
        </w:rPr>
        <w:t xml:space="preserve">connected to different network, it become difficult to coordinate resources when gNB is used. Therefore, we propose to have SL-PRS resources assigned by the higher messaging from the LMF due to </w:t>
      </w:r>
      <w:r w:rsidR="00DB244F">
        <w:rPr>
          <w:lang w:val="en-US"/>
        </w:rPr>
        <w:t>its flexibility in supporting different deployment scenarios.</w:t>
      </w:r>
      <w:r w:rsidR="007F67A0">
        <w:rPr>
          <w:lang w:val="en-US"/>
        </w:rPr>
        <w:t xml:space="preserve"> Additionally, this allows a largely unified design with Scheme 2 as we discuss in the next section.</w:t>
      </w:r>
    </w:p>
    <w:p w14:paraId="036489F4" w14:textId="3C18F944" w:rsidR="00DB244F" w:rsidRPr="004D4DB9" w:rsidRDefault="00DB244F" w:rsidP="00DB244F">
      <w:pPr>
        <w:pStyle w:val="Caption"/>
        <w:rPr>
          <w:lang w:val="en-US"/>
        </w:rPr>
      </w:pPr>
      <w:bookmarkStart w:id="11" w:name="_Toc128123795"/>
      <w:r>
        <w:lastRenderedPageBreak/>
        <w:t xml:space="preserve">Proposal </w:t>
      </w:r>
      <w:fldSimple w:instr=" SEQ Proposal \* ARABIC ">
        <w:r w:rsidR="0015073F">
          <w:rPr>
            <w:noProof/>
          </w:rPr>
          <w:t>9</w:t>
        </w:r>
      </w:fldSimple>
      <w:r>
        <w:t>: In Scheme 1 resource allocation, SL-PRS resources are indicated in higher-layer messages from the LMF.</w:t>
      </w:r>
      <w:bookmarkEnd w:id="11"/>
    </w:p>
    <w:p w14:paraId="2ADBDEE3" w14:textId="05CFB3BC" w:rsidR="00AD7F48" w:rsidRDefault="003C44E5" w:rsidP="003C44E5">
      <w:pPr>
        <w:pStyle w:val="Heading2"/>
      </w:pPr>
      <w:r>
        <w:t xml:space="preserve">Scheme 2 Resource </w:t>
      </w:r>
      <w:r w:rsidR="008A7ABB">
        <w:t>Allocation</w:t>
      </w:r>
    </w:p>
    <w:p w14:paraId="0C2EE2BB" w14:textId="2381B5A7" w:rsidR="0019040C" w:rsidRDefault="00FF5927" w:rsidP="0019040C">
      <w:pPr>
        <w:rPr>
          <w:lang w:val="en-US"/>
        </w:rPr>
      </w:pPr>
      <w:r>
        <w:rPr>
          <w:lang w:val="en-US"/>
        </w:rPr>
        <w:t xml:space="preserve">Two </w:t>
      </w:r>
      <w:r w:rsidR="00962870">
        <w:rPr>
          <w:lang w:val="en-US"/>
        </w:rPr>
        <w:t xml:space="preserve">options for Scheme 2 resource allocation are being considered </w:t>
      </w:r>
      <w:r w:rsidR="00962870">
        <w:rPr>
          <w:lang w:val="en-US"/>
        </w:rPr>
        <w:fldChar w:fldCharType="begin"/>
      </w:r>
      <w:r w:rsidR="00962870">
        <w:rPr>
          <w:lang w:val="en-US"/>
        </w:rPr>
        <w:instrText xml:space="preserve"> REF _Ref127520722 \r \h </w:instrText>
      </w:r>
      <w:r w:rsidR="00962870">
        <w:rPr>
          <w:lang w:val="en-US"/>
        </w:rPr>
      </w:r>
      <w:r w:rsidR="00962870">
        <w:rPr>
          <w:lang w:val="en-US"/>
        </w:rPr>
        <w:fldChar w:fldCharType="separate"/>
      </w:r>
      <w:r w:rsidR="00962870">
        <w:rPr>
          <w:lang w:val="en-US"/>
        </w:rPr>
        <w:t>[4]</w:t>
      </w:r>
      <w:r w:rsidR="00962870">
        <w:rPr>
          <w:lang w:val="en-US"/>
        </w:rPr>
        <w:fldChar w:fldCharType="end"/>
      </w:r>
      <w:r w:rsidR="00962870">
        <w:rPr>
          <w:lang w:val="en-US"/>
        </w:rPr>
        <w:t>:</w:t>
      </w:r>
    </w:p>
    <w:tbl>
      <w:tblPr>
        <w:tblStyle w:val="TableGrid"/>
        <w:tblW w:w="0" w:type="auto"/>
        <w:tblLook w:val="04A0" w:firstRow="1" w:lastRow="0" w:firstColumn="1" w:lastColumn="0" w:noHBand="0" w:noVBand="1"/>
      </w:tblPr>
      <w:tblGrid>
        <w:gridCol w:w="9629"/>
      </w:tblGrid>
      <w:tr w:rsidR="00962870" w14:paraId="54DD0BD5" w14:textId="77777777" w:rsidTr="00962870">
        <w:tc>
          <w:tcPr>
            <w:tcW w:w="9629" w:type="dxa"/>
          </w:tcPr>
          <w:p w14:paraId="3F1BC2B8" w14:textId="77777777" w:rsidR="00962870" w:rsidRDefault="00962870" w:rsidP="00962870">
            <w:pPr>
              <w:rPr>
                <w:b/>
              </w:rPr>
            </w:pPr>
            <w:r>
              <w:rPr>
                <w:b/>
                <w:highlight w:val="green"/>
              </w:rPr>
              <w:t>Agreement</w:t>
            </w:r>
          </w:p>
          <w:p w14:paraId="2709EC9B" w14:textId="77777777" w:rsidR="00962870" w:rsidRDefault="00962870" w:rsidP="00962870">
            <w:pPr>
              <w:pStyle w:val="ListParagraph"/>
              <w:ind w:left="0"/>
              <w:rPr>
                <w:rFonts w:eastAsia="Times New Roman"/>
              </w:rPr>
            </w:pPr>
            <w:r>
              <w:rPr>
                <w:rFonts w:eastAsia="Times New Roman"/>
              </w:rPr>
              <w:t>For Scheme 2, with regards to Resource allocation mechanism for SL-PRS, pick one or both of the following options:</w:t>
            </w:r>
          </w:p>
          <w:p w14:paraId="42C6AF08" w14:textId="77777777" w:rsidR="00962870" w:rsidRDefault="00962870" w:rsidP="00962870">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 xml:space="preserve">Option 1: A sensing based resource allocation should be introduced </w:t>
            </w:r>
          </w:p>
          <w:p w14:paraId="5B358CA3" w14:textId="77777777" w:rsidR="00962870" w:rsidRDefault="00962870" w:rsidP="00962870">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Option 2: A random resource selection should be introduced</w:t>
            </w:r>
          </w:p>
          <w:p w14:paraId="133AE12C" w14:textId="4AAA3021" w:rsidR="00962870" w:rsidRPr="00962870" w:rsidRDefault="00962870" w:rsidP="0019040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 xml:space="preserve">In either option 1 or 2, the legacy designs for UE autonomous resource allocation should be used as a starting point. Study if/what enhancements may be needed. </w:t>
            </w:r>
          </w:p>
        </w:tc>
      </w:tr>
    </w:tbl>
    <w:p w14:paraId="42227C0B" w14:textId="6C52FC3B" w:rsidR="00962870" w:rsidRDefault="00962870" w:rsidP="0019040C">
      <w:pPr>
        <w:rPr>
          <w:lang w:val="en-US"/>
        </w:rPr>
      </w:pPr>
    </w:p>
    <w:p w14:paraId="46A3449E" w14:textId="356E5461" w:rsidR="00962870" w:rsidRDefault="001E6AA2" w:rsidP="0019040C">
      <w:pPr>
        <w:rPr>
          <w:lang w:val="en-US"/>
        </w:rPr>
      </w:pPr>
      <w:r>
        <w:rPr>
          <w:lang w:val="en-US"/>
        </w:rPr>
        <w:t>In our view, both options should be supported as is the case for sidelink communications.</w:t>
      </w:r>
    </w:p>
    <w:p w14:paraId="10DAD01B" w14:textId="4325403E" w:rsidR="001E6AA2" w:rsidRDefault="001E6AA2" w:rsidP="001E6AA2">
      <w:pPr>
        <w:pStyle w:val="Caption"/>
      </w:pPr>
      <w:bookmarkStart w:id="12" w:name="_Toc128123796"/>
      <w:r>
        <w:t xml:space="preserve">Proposal </w:t>
      </w:r>
      <w:fldSimple w:instr=" SEQ Proposal \* ARABIC ">
        <w:r w:rsidR="0015073F">
          <w:rPr>
            <w:noProof/>
          </w:rPr>
          <w:t>10</w:t>
        </w:r>
      </w:fldSimple>
      <w:r>
        <w:t xml:space="preserve">: Both sensing-based resource allocation </w:t>
      </w:r>
      <w:r w:rsidR="00223E73">
        <w:t>and random resource selection should be introduced.</w:t>
      </w:r>
      <w:bookmarkEnd w:id="12"/>
    </w:p>
    <w:p w14:paraId="4048CDE3" w14:textId="0CFEA3E1" w:rsidR="00494C07" w:rsidRDefault="00BE4C86" w:rsidP="00494C07">
      <w:pPr>
        <w:rPr>
          <w:lang w:val="en-US"/>
        </w:rPr>
      </w:pPr>
      <w:r>
        <w:rPr>
          <w:lang w:val="en-US"/>
        </w:rPr>
        <w:t xml:space="preserve">Moving </w:t>
      </w:r>
      <w:r w:rsidR="007A3442">
        <w:rPr>
          <w:lang w:val="en-US"/>
        </w:rPr>
        <w:t xml:space="preserve">resource selection from MAC </w:t>
      </w:r>
      <w:r w:rsidR="00683562">
        <w:rPr>
          <w:lang w:val="en-US"/>
        </w:rPr>
        <w:t xml:space="preserve">as in sidelink communications </w:t>
      </w:r>
      <w:r w:rsidR="007A3442">
        <w:rPr>
          <w:lang w:val="en-US"/>
        </w:rPr>
        <w:t>to higher layers, allows high layers to coordinate transmission</w:t>
      </w:r>
      <w:r w:rsidR="00683562">
        <w:rPr>
          <w:lang w:val="en-US"/>
        </w:rPr>
        <w:t>s</w:t>
      </w:r>
      <w:r w:rsidR="007A3442">
        <w:rPr>
          <w:lang w:val="en-US"/>
        </w:rPr>
        <w:t xml:space="preserve"> and </w:t>
      </w:r>
      <w:r w:rsidR="00683562">
        <w:rPr>
          <w:lang w:val="en-US"/>
        </w:rPr>
        <w:t xml:space="preserve">multiplex </w:t>
      </w:r>
      <w:r w:rsidR="00D331CD">
        <w:rPr>
          <w:lang w:val="en-US"/>
        </w:rPr>
        <w:t xml:space="preserve">SL-PRS transmissions on different comb offsets while reducing the likelihood of </w:t>
      </w:r>
      <w:r w:rsidR="00987386">
        <w:rPr>
          <w:lang w:val="en-US"/>
        </w:rPr>
        <w:t xml:space="preserve">collisions. This also enables a unified design </w:t>
      </w:r>
      <w:r w:rsidR="00FE76C1">
        <w:rPr>
          <w:lang w:val="en-US"/>
        </w:rPr>
        <w:t>with Scheme 1, where higher layers indicate the resources to lower layers</w:t>
      </w:r>
      <w:r w:rsidR="00901594">
        <w:rPr>
          <w:lang w:val="en-US"/>
        </w:rPr>
        <w:t>, the difference from a lower-layer perspective becomes that</w:t>
      </w:r>
      <w:r w:rsidR="00257586">
        <w:rPr>
          <w:lang w:val="en-US"/>
        </w:rPr>
        <w:t>,</w:t>
      </w:r>
      <w:r w:rsidR="00901594">
        <w:rPr>
          <w:lang w:val="en-US"/>
        </w:rPr>
        <w:t xml:space="preserve"> in Scheme 2, there is reporting of </w:t>
      </w:r>
      <w:r w:rsidR="00DD3948">
        <w:rPr>
          <w:lang w:val="en-US"/>
        </w:rPr>
        <w:t>available</w:t>
      </w:r>
      <w:r w:rsidR="00901594">
        <w:rPr>
          <w:lang w:val="en-US"/>
        </w:rPr>
        <w:t xml:space="preserve"> resources from lower layers to higher layers.</w:t>
      </w:r>
    </w:p>
    <w:p w14:paraId="40054B40" w14:textId="089EB15D" w:rsidR="003A42D7" w:rsidRDefault="00934119" w:rsidP="00934119">
      <w:pPr>
        <w:pStyle w:val="Caption"/>
      </w:pPr>
      <w:bookmarkStart w:id="13" w:name="_Toc128123797"/>
      <w:r>
        <w:t xml:space="preserve">Proposal </w:t>
      </w:r>
      <w:fldSimple w:instr=" SEQ Proposal \* ARABIC ">
        <w:r w:rsidR="0015073F">
          <w:rPr>
            <w:noProof/>
          </w:rPr>
          <w:t>11</w:t>
        </w:r>
      </w:fldSimple>
      <w:r>
        <w:t xml:space="preserve">: In Scheme 2 resource allocation, </w:t>
      </w:r>
      <w:r w:rsidR="001C3ABD">
        <w:t>SL-PRS resources are indicated to lower layers by the UE’s higher layers</w:t>
      </w:r>
      <w:r w:rsidR="00DA6E4A">
        <w:t>.</w:t>
      </w:r>
      <w:bookmarkEnd w:id="13"/>
    </w:p>
    <w:p w14:paraId="3F4458F6" w14:textId="5F1E4D7B" w:rsidR="00DA6E4A" w:rsidRDefault="00DA6E4A" w:rsidP="00DA6E4A">
      <w:pPr>
        <w:pStyle w:val="Caption"/>
      </w:pPr>
      <w:bookmarkStart w:id="14" w:name="_Toc128123798"/>
      <w:r>
        <w:t xml:space="preserve">Proposal </w:t>
      </w:r>
      <w:fldSimple w:instr=" SEQ Proposal \* ARABIC ">
        <w:r w:rsidR="0015073F">
          <w:rPr>
            <w:noProof/>
          </w:rPr>
          <w:t>12</w:t>
        </w:r>
      </w:fldSimple>
      <w:r>
        <w:t>: In Scheme 2 resource allocation, lower layers report sensing results based on decoding SCI-1 to higher layers.</w:t>
      </w:r>
      <w:bookmarkEnd w:id="14"/>
    </w:p>
    <w:p w14:paraId="1EFC3851" w14:textId="3CA3C654" w:rsidR="00337C65" w:rsidRDefault="00DD3948" w:rsidP="00337C65">
      <w:pPr>
        <w:rPr>
          <w:lang w:val="en-US"/>
        </w:rPr>
      </w:pPr>
      <w:r>
        <w:rPr>
          <w:lang w:val="en-US"/>
        </w:rPr>
        <w:t xml:space="preserve">In sidelink communications, higher layers provide a packet delay budget. Lower layers will use the packet delay budget to determine a resource selection window and then report available resources </w:t>
      </w:r>
      <w:r w:rsidR="00FD30F6">
        <w:rPr>
          <w:lang w:val="en-US"/>
        </w:rPr>
        <w:t>to MAC. Since SL-PRS</w:t>
      </w:r>
      <w:r w:rsidR="00D356DA">
        <w:rPr>
          <w:lang w:val="en-US"/>
        </w:rPr>
        <w:t xml:space="preserve"> are not a packet and do not have an associated packet delay budget, a replacement is needed to determine which resources lower layers </w:t>
      </w:r>
      <w:r w:rsidR="00AF4692">
        <w:rPr>
          <w:lang w:val="en-US"/>
        </w:rPr>
        <w:t>use to report resource availability to higher layers</w:t>
      </w:r>
      <w:r w:rsidR="009C2DC1">
        <w:rPr>
          <w:lang w:val="en-US"/>
        </w:rPr>
        <w:t xml:space="preserve">. This can be done by higher layers directly </w:t>
      </w:r>
      <w:r w:rsidR="00686564">
        <w:rPr>
          <w:lang w:val="en-US"/>
        </w:rPr>
        <w:t xml:space="preserve">indicating the resource selection window to </w:t>
      </w:r>
      <w:r w:rsidR="00E86850">
        <w:rPr>
          <w:lang w:val="en-US"/>
        </w:rPr>
        <w:t>lower layers.</w:t>
      </w:r>
    </w:p>
    <w:p w14:paraId="77D110D8" w14:textId="2627B453" w:rsidR="00E86850" w:rsidRDefault="00E86850" w:rsidP="00E86850">
      <w:pPr>
        <w:pStyle w:val="Caption"/>
      </w:pPr>
      <w:bookmarkStart w:id="15" w:name="_Toc128123799"/>
      <w:r>
        <w:t xml:space="preserve">Proposal </w:t>
      </w:r>
      <w:fldSimple w:instr=" SEQ Proposal \* ARABIC ">
        <w:r w:rsidR="0015073F">
          <w:rPr>
            <w:noProof/>
          </w:rPr>
          <w:t>13</w:t>
        </w:r>
      </w:fldSimple>
      <w:r>
        <w:t>: Higher layers directly indicate</w:t>
      </w:r>
      <w:r w:rsidR="001217D1">
        <w:t xml:space="preserve"> the SL-PRS resource selection window to lower layers.</w:t>
      </w:r>
      <w:bookmarkEnd w:id="15"/>
    </w:p>
    <w:p w14:paraId="3A343EF6" w14:textId="1A29AA72" w:rsidR="00297A31" w:rsidRDefault="00297A31" w:rsidP="00297A31">
      <w:r>
        <w:t xml:space="preserve">The Rel-17 inter-UE coordination framework cannot be reused </w:t>
      </w:r>
      <w:r w:rsidR="00D15C48">
        <w:t xml:space="preserve">for a dedicated resource pool due to lack of cross resource pool indication. This is not a simple issue of missing fields in signaling since </w:t>
      </w:r>
      <w:r w:rsidR="004C2091" w:rsidRPr="004C2091">
        <w:t>the same resource pool could have different indices at different UEs, for example if the UEs have a different number of resource pools or the UEs are configured by different networks</w:t>
      </w:r>
      <w:r w:rsidR="004C2091">
        <w:t xml:space="preserve">. </w:t>
      </w:r>
      <w:r w:rsidR="00513247">
        <w:t xml:space="preserve">For now, we propose to postpone </w:t>
      </w:r>
      <w:r w:rsidR="002120FC">
        <w:t xml:space="preserve">inter-UE coordination </w:t>
      </w:r>
      <w:r w:rsidR="006C658F">
        <w:t xml:space="preserve">discussions to focus on </w:t>
      </w:r>
      <w:r w:rsidR="00B834E4">
        <w:t>essential aspects of system functionality.</w:t>
      </w:r>
    </w:p>
    <w:p w14:paraId="6F74F586" w14:textId="11CD5F92" w:rsidR="00B834E4" w:rsidRPr="00297A31" w:rsidRDefault="0072540B" w:rsidP="0072540B">
      <w:pPr>
        <w:pStyle w:val="Caption"/>
      </w:pPr>
      <w:bookmarkStart w:id="16" w:name="_Toc128123800"/>
      <w:r>
        <w:t xml:space="preserve">Proposal </w:t>
      </w:r>
      <w:fldSimple w:instr=" SEQ Proposal \* ARABIC ">
        <w:r w:rsidR="0015073F">
          <w:rPr>
            <w:noProof/>
          </w:rPr>
          <w:t>14</w:t>
        </w:r>
      </w:fldSimple>
      <w:r>
        <w:t xml:space="preserve">: Postpone inter-UE coordination discussions until essential </w:t>
      </w:r>
      <w:r w:rsidR="00395B2D">
        <w:t>aspects of sidelink positioning are complete.</w:t>
      </w:r>
      <w:bookmarkEnd w:id="16"/>
    </w:p>
    <w:p w14:paraId="29656E71" w14:textId="33CD33BA" w:rsidR="00273334" w:rsidRDefault="009B527E" w:rsidP="002501AF">
      <w:pPr>
        <w:pStyle w:val="3GPPH1"/>
      </w:pPr>
      <w:r>
        <w:t xml:space="preserve">Triggering, </w:t>
      </w:r>
      <w:r w:rsidR="00273334">
        <w:t>Activation</w:t>
      </w:r>
      <w:r w:rsidR="00C07D75">
        <w:t xml:space="preserve">/Deactivation, and </w:t>
      </w:r>
      <w:r w:rsidR="00D87916">
        <w:t>Configuration</w:t>
      </w:r>
      <w:r w:rsidR="002501AF">
        <w:t xml:space="preserve"> of SL-PRS</w:t>
      </w:r>
    </w:p>
    <w:p w14:paraId="56E91989" w14:textId="77777777" w:rsidR="0024709E" w:rsidRPr="00BE1B74" w:rsidRDefault="0024709E" w:rsidP="0024709E">
      <w:pPr>
        <w:pStyle w:val="Heading2"/>
      </w:pPr>
      <w:r w:rsidRPr="00BE1B74">
        <w:t>Triggering</w:t>
      </w:r>
    </w:p>
    <w:p w14:paraId="4785861E" w14:textId="77777777" w:rsidR="0024709E" w:rsidRPr="00BE1B74" w:rsidRDefault="0024709E" w:rsidP="0024709E">
      <w:pPr>
        <w:rPr>
          <w:lang w:val="en-US"/>
        </w:rPr>
      </w:pPr>
      <w:r w:rsidRPr="00BE1B74">
        <w:rPr>
          <w:lang w:val="en-US"/>
        </w:rPr>
        <w:t xml:space="preserve">In sidelink Mode 2 resource allocation, higher layers trigger the resource selection procedure in the physical layer, e.g. upon packet arrival, as shown in </w:t>
      </w:r>
      <w:r w:rsidRPr="00BE1B74">
        <w:rPr>
          <w:lang w:val="en-US"/>
        </w:rPr>
        <w:fldChar w:fldCharType="begin"/>
      </w:r>
      <w:r w:rsidRPr="00BE1B74">
        <w:rPr>
          <w:lang w:val="en-US"/>
        </w:rPr>
        <w:instrText xml:space="preserve"> REF _Ref115163677 \h </w:instrText>
      </w:r>
      <w:r w:rsidRPr="00BE1B74">
        <w:rPr>
          <w:lang w:val="en-US"/>
        </w:rPr>
      </w:r>
      <w:r w:rsidRPr="00BE1B74">
        <w:rPr>
          <w:lang w:val="en-US"/>
        </w:rPr>
        <w:fldChar w:fldCharType="separate"/>
      </w:r>
      <w:r w:rsidRPr="00BE1B74">
        <w:rPr>
          <w:lang w:val="en-US"/>
        </w:rPr>
        <w:t xml:space="preserve">Figure </w:t>
      </w:r>
      <w:r>
        <w:rPr>
          <w:noProof/>
          <w:lang w:val="en-US"/>
        </w:rPr>
        <w:t>4</w:t>
      </w:r>
      <w:r w:rsidRPr="00BE1B74">
        <w:rPr>
          <w:lang w:val="en-US"/>
        </w:rPr>
        <w:fldChar w:fldCharType="end"/>
      </w:r>
      <w:r w:rsidRPr="00BE1B74">
        <w:rPr>
          <w:lang w:val="en-US"/>
        </w:rPr>
        <w:t>. Also, higher layers trigger PHY to transmit CSI-RS. Similarly, higher layers determine which sensing type to use from among the (pre-)configured options. In general, triggering starts in the UE’s higher layers, not in lower layers due to the lack of centralized control and scheduling. Higher layers can coordinate with other UEs, e.g. at the protocol or application layer, and exert control within the UE to meet application requirements and maintain system performance, tasks that would have been performed by the network in other cases.</w:t>
      </w:r>
    </w:p>
    <w:p w14:paraId="68771592" w14:textId="77777777" w:rsidR="0024709E" w:rsidRPr="00BE1B74" w:rsidRDefault="0024709E" w:rsidP="0024709E">
      <w:pPr>
        <w:jc w:val="center"/>
        <w:rPr>
          <w:lang w:val="en-US"/>
        </w:rPr>
      </w:pPr>
      <w:r w:rsidRPr="00BE1B74">
        <w:rPr>
          <w:noProof/>
          <w:lang w:val="en-US"/>
        </w:rPr>
        <w:lastRenderedPageBreak/>
        <w:drawing>
          <wp:inline distT="0" distB="0" distL="0" distR="0" wp14:anchorId="694655A5" wp14:editId="4A50771A">
            <wp:extent cx="4224182" cy="1220724"/>
            <wp:effectExtent l="0" t="0" r="0" b="0"/>
            <wp:docPr id="26" name="Picture 2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4321" cy="1232323"/>
                    </a:xfrm>
                    <a:prstGeom prst="rect">
                      <a:avLst/>
                    </a:prstGeom>
                    <a:noFill/>
                  </pic:spPr>
                </pic:pic>
              </a:graphicData>
            </a:graphic>
          </wp:inline>
        </w:drawing>
      </w:r>
    </w:p>
    <w:p w14:paraId="3B8378BA" w14:textId="0AB717CA" w:rsidR="0024709E" w:rsidRPr="00BE1B74" w:rsidRDefault="0024709E" w:rsidP="00335458">
      <w:pPr>
        <w:pStyle w:val="Caption"/>
        <w:jc w:val="center"/>
        <w:rPr>
          <w:lang w:val="en-US"/>
        </w:rPr>
      </w:pPr>
      <w:bookmarkStart w:id="17" w:name="_Ref115163677"/>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Pr>
          <w:noProof/>
          <w:lang w:val="en-US"/>
        </w:rPr>
        <w:t>4</w:t>
      </w:r>
      <w:r w:rsidRPr="00BE1B74">
        <w:rPr>
          <w:noProof/>
          <w:lang w:val="en-US"/>
        </w:rPr>
        <w:fldChar w:fldCharType="end"/>
      </w:r>
      <w:bookmarkEnd w:id="17"/>
      <w:r w:rsidRPr="00BE1B74">
        <w:rPr>
          <w:lang w:val="en-US"/>
        </w:rPr>
        <w:t xml:space="preserve"> Sidelink transmission triggering and flow in Mode 2 RA</w:t>
      </w:r>
    </w:p>
    <w:p w14:paraId="3DBB469F" w14:textId="04383BFD" w:rsidR="0024709E" w:rsidRPr="003D1B1F" w:rsidRDefault="0024709E" w:rsidP="0024709E">
      <w:pPr>
        <w:pStyle w:val="Caption"/>
        <w:jc w:val="left"/>
        <w:rPr>
          <w:szCs w:val="20"/>
          <w:lang w:val="en-US"/>
        </w:rPr>
      </w:pPr>
      <w:bookmarkStart w:id="18" w:name="_Toc118472073"/>
      <w:bookmarkStart w:id="19" w:name="_Toc127524893"/>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5A7397">
        <w:rPr>
          <w:noProof/>
          <w:szCs w:val="20"/>
          <w:lang w:val="en-US"/>
        </w:rPr>
        <w:t>2</w:t>
      </w:r>
      <w:r w:rsidRPr="003D1B1F">
        <w:rPr>
          <w:noProof/>
          <w:szCs w:val="20"/>
          <w:lang w:val="en-US"/>
        </w:rPr>
        <w:fldChar w:fldCharType="end"/>
      </w:r>
      <w:r w:rsidRPr="003D1B1F">
        <w:rPr>
          <w:szCs w:val="20"/>
          <w:lang w:val="en-US"/>
        </w:rPr>
        <w:t>: Operations are generally being triggered by the UE’s own higher layers in sidelink when using Mode 2 RA.</w:t>
      </w:r>
      <w:bookmarkEnd w:id="18"/>
      <w:bookmarkEnd w:id="19"/>
    </w:p>
    <w:p w14:paraId="54910D70" w14:textId="77777777" w:rsidR="0024709E" w:rsidRPr="00BE1B74" w:rsidRDefault="0024709E" w:rsidP="0024709E">
      <w:pPr>
        <w:rPr>
          <w:lang w:val="en-US"/>
        </w:rPr>
      </w:pPr>
      <w:r w:rsidRPr="00BE1B74">
        <w:rPr>
          <w:lang w:val="en-US"/>
        </w:rPr>
        <w:t>One possible option discussed in RAN1 is to use lower-layer signaling, e.g. SCI or SL MAC-CE, from another UE to trigger SL-PRS transmission. Removing higher layers from the loop in this manner brings up a number of issues. For example, there is no security or authentication mechanism associated with SCI or SL MAC-CE and using them to trigger another UEs behavior could result in security issues that are out of RAN1’s expertise. As mentioned earlier, higher layers ensure system performance based on target application, this knowledge is absent in lower layers and using lower-layer triggers results in loss of this functionality. Lastly, triggering by the UE’s own higher layers does not imply that a positioning session cannot be initiated by another UE, only that such operation occurs at the higher layers and then the UE’s PHY receives the trigger from its own higher layers.</w:t>
      </w:r>
    </w:p>
    <w:p w14:paraId="5BBD6D0F" w14:textId="38DBF594" w:rsidR="0024709E" w:rsidRDefault="0024709E" w:rsidP="0024709E">
      <w:pPr>
        <w:pStyle w:val="Caption"/>
        <w:rPr>
          <w:szCs w:val="20"/>
          <w:lang w:val="en-US"/>
        </w:rPr>
      </w:pPr>
      <w:bookmarkStart w:id="20" w:name="_Toc118472074"/>
      <w:bookmarkStart w:id="21" w:name="_Toc127524894"/>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5A7397">
        <w:rPr>
          <w:noProof/>
          <w:szCs w:val="20"/>
          <w:lang w:val="en-US"/>
        </w:rPr>
        <w:t>3</w:t>
      </w:r>
      <w:r w:rsidRPr="003D1B1F">
        <w:rPr>
          <w:noProof/>
          <w:szCs w:val="20"/>
          <w:lang w:val="en-US"/>
        </w:rPr>
        <w:fldChar w:fldCharType="end"/>
      </w:r>
      <w:r w:rsidRPr="003D1B1F">
        <w:rPr>
          <w:szCs w:val="20"/>
          <w:lang w:val="en-US"/>
        </w:rPr>
        <w:t>: Triggering SL-PRS by higher layers offers enhanced security and knowledge of scenario requirements compared to triggering by lower layers.</w:t>
      </w:r>
      <w:bookmarkEnd w:id="20"/>
      <w:bookmarkEnd w:id="21"/>
    </w:p>
    <w:p w14:paraId="5B6285BB" w14:textId="7A60598E" w:rsidR="006B08DC" w:rsidRPr="006B08DC" w:rsidRDefault="000C27BA" w:rsidP="000C27BA">
      <w:pPr>
        <w:pStyle w:val="Caption"/>
        <w:rPr>
          <w:lang w:val="en-US"/>
        </w:rPr>
      </w:pPr>
      <w:bookmarkStart w:id="22" w:name="_Toc127524895"/>
      <w:r>
        <w:t xml:space="preserve">Observation </w:t>
      </w:r>
      <w:fldSimple w:instr=" SEQ Observation \* ARABIC ">
        <w:r w:rsidR="005A7397">
          <w:rPr>
            <w:noProof/>
          </w:rPr>
          <w:t>4</w:t>
        </w:r>
      </w:fldSimple>
      <w:r>
        <w:t xml:space="preserve">: </w:t>
      </w:r>
      <w:r w:rsidR="008107A7">
        <w:t>The origin of an SL-PRS transmission</w:t>
      </w:r>
      <w:r w:rsidR="006D1684">
        <w:t xml:space="preserve"> trigger</w:t>
      </w:r>
      <w:r w:rsidR="008107A7">
        <w:t xml:space="preserve"> </w:t>
      </w:r>
      <w:r w:rsidR="009411B4">
        <w:t xml:space="preserve">can be </w:t>
      </w:r>
      <w:r w:rsidR="00A800F9">
        <w:t>another UE, the network, LMF, or the UE itself when</w:t>
      </w:r>
      <w:r w:rsidR="006D1684">
        <w:t xml:space="preserve"> the UE’s</w:t>
      </w:r>
      <w:r w:rsidR="00A800F9">
        <w:t xml:space="preserve"> </w:t>
      </w:r>
      <w:r w:rsidR="006D1684">
        <w:t>PHY receives an SL-PRS transmissions trigger from its own higher layers.</w:t>
      </w:r>
      <w:bookmarkEnd w:id="22"/>
    </w:p>
    <w:p w14:paraId="0D0DBD75" w14:textId="0F202441" w:rsidR="0024709E" w:rsidRPr="00BE1B74" w:rsidRDefault="0024709E" w:rsidP="0024709E">
      <w:pPr>
        <w:rPr>
          <w:lang w:val="en-US"/>
        </w:rPr>
      </w:pPr>
      <w:r w:rsidRPr="00BE1B74">
        <w:rPr>
          <w:lang w:val="en-US"/>
        </w:rPr>
        <w:t>When considering network-centric operation, i.e. Scheme 1, a number of options exist for triggering SL-PRS: higher-layers, MAC-CE, or DCI. Currently, there is no procedure defined for a MAC-CE on downlink triggering a sidelink operation and the benefits for introducing such a procedure for SL-PRS triggering is not clear. Using DCI could increase the complexity of PDCCH monitoring in the UE and it not clear if DCI triggering is beneficial in this case and it is preferable to not introduce it. Using higher-layer triggering as a unified solution for Scheme 1 and Scheme 2 simplifies implementation and specification work. It is also consistent with RAN2’s agreement to wait for SA2’s work on triggering:</w:t>
      </w:r>
    </w:p>
    <w:p w14:paraId="5867CCAF" w14:textId="1E52C53B" w:rsidR="0024709E" w:rsidRPr="00BE1B74" w:rsidRDefault="0024709E" w:rsidP="0024709E">
      <w:pPr>
        <w:spacing w:after="0"/>
        <w:ind w:firstLine="284"/>
        <w:jc w:val="left"/>
        <w:rPr>
          <w:rFonts w:eastAsia="Times New Roman"/>
          <w:lang w:val="en-US"/>
        </w:rPr>
      </w:pPr>
    </w:p>
    <w:tbl>
      <w:tblPr>
        <w:tblStyle w:val="TableGrid"/>
        <w:tblW w:w="0" w:type="auto"/>
        <w:tblLook w:val="04A0" w:firstRow="1" w:lastRow="0" w:firstColumn="1" w:lastColumn="0" w:noHBand="0" w:noVBand="1"/>
      </w:tblPr>
      <w:tblGrid>
        <w:gridCol w:w="9629"/>
      </w:tblGrid>
      <w:tr w:rsidR="00335458" w14:paraId="75963B99" w14:textId="77777777" w:rsidTr="00335458">
        <w:tc>
          <w:tcPr>
            <w:tcW w:w="9629" w:type="dxa"/>
          </w:tcPr>
          <w:p w14:paraId="28D41025" w14:textId="77777777" w:rsidR="00335458" w:rsidRPr="00BE1B74" w:rsidRDefault="00335458" w:rsidP="00335458">
            <w:pPr>
              <w:rPr>
                <w:lang w:val="en-US"/>
              </w:rPr>
            </w:pPr>
            <w:r w:rsidRPr="00BE1B74">
              <w:rPr>
                <w:highlight w:val="green"/>
                <w:lang w:val="en-US"/>
              </w:rPr>
              <w:t>Agreement:</w:t>
            </w:r>
          </w:p>
          <w:p w14:paraId="1E1DBADC" w14:textId="6A7C2159" w:rsidR="00335458" w:rsidRDefault="00335458" w:rsidP="00335458">
            <w:pPr>
              <w:rPr>
                <w:lang w:val="en-US"/>
              </w:rPr>
            </w:pPr>
            <w:r w:rsidRPr="00BE1B74">
              <w:rPr>
                <w:rFonts w:eastAsia="Times New Roman"/>
                <w:lang w:val="en-US"/>
              </w:rPr>
              <w:t>RAN2 wait for SA2 on the triggering of the positioning procedures from upper layers</w:t>
            </w:r>
          </w:p>
        </w:tc>
      </w:tr>
    </w:tbl>
    <w:p w14:paraId="21243543" w14:textId="77777777" w:rsidR="0024709E" w:rsidRPr="00BE1B74" w:rsidRDefault="0024709E" w:rsidP="0024709E">
      <w:pPr>
        <w:rPr>
          <w:lang w:val="en-US"/>
        </w:rPr>
      </w:pPr>
    </w:p>
    <w:p w14:paraId="051BFD19" w14:textId="4FCB2983" w:rsidR="0024709E" w:rsidRPr="00BE1B74" w:rsidRDefault="0024709E" w:rsidP="0024709E">
      <w:pPr>
        <w:pStyle w:val="Caption"/>
        <w:jc w:val="left"/>
        <w:rPr>
          <w:szCs w:val="20"/>
          <w:lang w:val="en-US"/>
        </w:rPr>
      </w:pPr>
      <w:bookmarkStart w:id="23" w:name="_Toc118472092"/>
      <w:bookmarkStart w:id="24" w:name="_Toc128123801"/>
      <w:r w:rsidRPr="00BE1B74">
        <w:rPr>
          <w:szCs w:val="20"/>
          <w:lang w:val="en-US"/>
        </w:rPr>
        <w:t xml:space="preserve">Proposal </w:t>
      </w:r>
      <w:r w:rsidRPr="00BE1B74">
        <w:rPr>
          <w:szCs w:val="20"/>
          <w:lang w:val="en-US"/>
        </w:rPr>
        <w:fldChar w:fldCharType="begin"/>
      </w:r>
      <w:r w:rsidRPr="00BE1B74">
        <w:rPr>
          <w:szCs w:val="20"/>
          <w:lang w:val="en-US"/>
        </w:rPr>
        <w:instrText xml:space="preserve"> SEQ Proposal \* ARABIC </w:instrText>
      </w:r>
      <w:r w:rsidRPr="00BE1B74">
        <w:rPr>
          <w:szCs w:val="20"/>
          <w:lang w:val="en-US"/>
        </w:rPr>
        <w:fldChar w:fldCharType="separate"/>
      </w:r>
      <w:r w:rsidR="0015073F">
        <w:rPr>
          <w:noProof/>
          <w:szCs w:val="20"/>
          <w:lang w:val="en-US"/>
        </w:rPr>
        <w:t>15</w:t>
      </w:r>
      <w:r w:rsidRPr="00BE1B74">
        <w:rPr>
          <w:szCs w:val="20"/>
          <w:lang w:val="en-US"/>
        </w:rPr>
        <w:fldChar w:fldCharType="end"/>
      </w:r>
      <w:r w:rsidRPr="00BE1B74">
        <w:rPr>
          <w:szCs w:val="20"/>
          <w:lang w:val="en-US"/>
        </w:rPr>
        <w:t>: Support SL-PRS transmission triggering at the physical layer by the UE’s own higher layers only.</w:t>
      </w:r>
      <w:bookmarkEnd w:id="23"/>
      <w:bookmarkEnd w:id="24"/>
    </w:p>
    <w:p w14:paraId="55344904" w14:textId="77777777" w:rsidR="0024709E" w:rsidRDefault="0024709E" w:rsidP="0024709E">
      <w:pPr>
        <w:rPr>
          <w:lang w:val="en-US"/>
        </w:rPr>
      </w:pPr>
      <w:r>
        <w:rPr>
          <w:lang w:val="en-US"/>
        </w:rPr>
        <w:t>The issue of requests for SL-PRS transmission was discussed in RAN1 110bis-e. The core of the discussion was whether a request is a higher-layer or lower-layer message and procedure. Positioning is a higher layer operation and requesting that another UE transmit PRS requires higher layer involvement to validate the source of the request and to prevent denial of service and other attacks that could overload the system. General QoS concerns aside from security also need to be addressed, for example, reducing non-essential SL-PRS traffic in case of an emergency to leave more resources for emergency vehicles and first responders. Further, defining a lower-layer mechanism for requests requires dedicated signaling as was done in Rel-17 inter-UE coordination, which is not necessary in the positioning case since the UEs higher layers will need to decide whether to accept a request or not and there will not be a benefit from the lower latency of L1 signaling.</w:t>
      </w:r>
    </w:p>
    <w:p w14:paraId="016A288B" w14:textId="23CAA1D2" w:rsidR="002501AF" w:rsidRDefault="0024709E" w:rsidP="0024709E">
      <w:pPr>
        <w:pStyle w:val="Caption"/>
        <w:rPr>
          <w:szCs w:val="20"/>
        </w:rPr>
      </w:pPr>
      <w:bookmarkStart w:id="25" w:name="_Toc118472093"/>
      <w:bookmarkStart w:id="26" w:name="_Toc128123802"/>
      <w:r w:rsidRPr="004C53CF">
        <w:rPr>
          <w:szCs w:val="20"/>
        </w:rPr>
        <w:t xml:space="preserve">Proposal </w:t>
      </w:r>
      <w:r w:rsidRPr="004C53CF">
        <w:rPr>
          <w:szCs w:val="20"/>
        </w:rPr>
        <w:fldChar w:fldCharType="begin"/>
      </w:r>
      <w:r w:rsidRPr="004C53CF">
        <w:rPr>
          <w:szCs w:val="20"/>
        </w:rPr>
        <w:instrText xml:space="preserve"> SEQ Proposal \* ARABIC </w:instrText>
      </w:r>
      <w:r w:rsidRPr="004C53CF">
        <w:rPr>
          <w:szCs w:val="20"/>
        </w:rPr>
        <w:fldChar w:fldCharType="separate"/>
      </w:r>
      <w:r w:rsidR="0015073F">
        <w:rPr>
          <w:noProof/>
          <w:szCs w:val="20"/>
        </w:rPr>
        <w:t>16</w:t>
      </w:r>
      <w:r w:rsidRPr="004C53CF">
        <w:rPr>
          <w:szCs w:val="20"/>
        </w:rPr>
        <w:fldChar w:fldCharType="end"/>
      </w:r>
      <w:r w:rsidRPr="004C53CF">
        <w:rPr>
          <w:szCs w:val="20"/>
        </w:rPr>
        <w:t>: Requests for transmission of SL-PRS are introduced as higher-layer messages and no explicit support is needed in lower layers.</w:t>
      </w:r>
      <w:bookmarkEnd w:id="25"/>
      <w:bookmarkEnd w:id="26"/>
    </w:p>
    <w:p w14:paraId="67438BAD" w14:textId="77777777" w:rsidR="00C07D75" w:rsidRPr="00BE1B74" w:rsidRDefault="00C07D75" w:rsidP="00C07D75">
      <w:pPr>
        <w:pStyle w:val="Heading2"/>
      </w:pPr>
      <w:r w:rsidRPr="00BE1B74">
        <w:t>Activation/Deactivation</w:t>
      </w:r>
    </w:p>
    <w:p w14:paraId="25524D2E" w14:textId="31D6C851" w:rsidR="00C07D75" w:rsidRPr="00BE1B74" w:rsidRDefault="00C07D75" w:rsidP="00C07D75">
      <w:pPr>
        <w:rPr>
          <w:lang w:val="en-US"/>
        </w:rPr>
      </w:pPr>
      <w:r w:rsidRPr="00BE1B74">
        <w:rPr>
          <w:lang w:val="en-US"/>
        </w:rPr>
        <w:t xml:space="preserve">Activation and deactivation starts and stops a periodic or semi-persistent process. In sidelink, there is no distinction between periodic and semi-persistent processes and they both are considered periodic processes. In Mode 1 resource allocation, periodic transmissions are achieved by configured grant type 1 and type 2, which are RRC and DCI activated, respectively. In Mode 2, there is no external activation or deactivation of periodic transmissions and the decision whether </w:t>
      </w:r>
      <w:r w:rsidRPr="00BE1B74">
        <w:rPr>
          <w:lang w:val="en-US"/>
        </w:rPr>
        <w:lastRenderedPageBreak/>
        <w:t>to use a periodic transmission or an aperiodic one is up to the UE’s higher layers. In Uu positioning, the LMF starts/stops periodic PRS transmissions ondemand at the gNB.</w:t>
      </w:r>
    </w:p>
    <w:p w14:paraId="6167B5AD" w14:textId="77777777" w:rsidR="00C07D75" w:rsidRPr="00BE1B74" w:rsidRDefault="00C07D75" w:rsidP="00C07D75">
      <w:pPr>
        <w:rPr>
          <w:lang w:val="en-US"/>
        </w:rPr>
      </w:pPr>
      <w:r w:rsidRPr="00BE1B74">
        <w:rPr>
          <w:lang w:val="en-US"/>
        </w:rPr>
        <w:t>For Scheme 2 SL positioning operation, activation/deactivation by higher layers is a straightforward solution that follows existing sidelink design. Like triggering, this would also address issues related to security, scenario requirements, and inter-UE interaction.</w:t>
      </w:r>
    </w:p>
    <w:p w14:paraId="62B19120" w14:textId="77777777" w:rsidR="00C07D75" w:rsidRPr="00BE1B74" w:rsidRDefault="00C07D75" w:rsidP="00C07D75">
      <w:pPr>
        <w:rPr>
          <w:lang w:val="en-US"/>
        </w:rPr>
      </w:pPr>
      <w:r w:rsidRPr="00BE1B74">
        <w:rPr>
          <w:lang w:val="en-US"/>
        </w:rPr>
        <w:t>Scheme 1 SL positioning operation can reuse the higher-layer activation/deactivation design from Scheme 2 to provide a unified framework, minimizing the differences between the two schemes. It could become part of the higher-layer triggering procedure as well.</w:t>
      </w:r>
    </w:p>
    <w:p w14:paraId="51196C50" w14:textId="77777777" w:rsidR="00C07D75" w:rsidRPr="00BE1B74" w:rsidRDefault="00C07D75" w:rsidP="00C07D75">
      <w:pPr>
        <w:rPr>
          <w:lang w:val="en-US"/>
        </w:rPr>
      </w:pPr>
      <w:r w:rsidRPr="00BE1B74">
        <w:rPr>
          <w:lang w:val="en-US"/>
        </w:rPr>
        <w:t>Higher-layer activation and deactivation of SL-PRS periodic transmission is a suitable, unified solution for both Scheme 1 and Scheme 2 positioning operation. Hence, we propose to adopt it:</w:t>
      </w:r>
    </w:p>
    <w:p w14:paraId="575D2449" w14:textId="0F09F994" w:rsidR="00C07D75" w:rsidRPr="005271B6" w:rsidRDefault="00C07D75" w:rsidP="00C07D75">
      <w:pPr>
        <w:pStyle w:val="Caption"/>
        <w:jc w:val="left"/>
        <w:rPr>
          <w:szCs w:val="20"/>
          <w:lang w:val="en-US"/>
        </w:rPr>
      </w:pPr>
      <w:bookmarkStart w:id="27" w:name="_Toc118472094"/>
      <w:bookmarkStart w:id="28" w:name="_Toc128123803"/>
      <w:r w:rsidRPr="005271B6">
        <w:rPr>
          <w:szCs w:val="20"/>
          <w:lang w:val="en-US"/>
        </w:rPr>
        <w:t xml:space="preserve">Proposal </w:t>
      </w:r>
      <w:r w:rsidRPr="005271B6">
        <w:rPr>
          <w:szCs w:val="20"/>
          <w:lang w:val="en-US"/>
        </w:rPr>
        <w:fldChar w:fldCharType="begin"/>
      </w:r>
      <w:r w:rsidRPr="005271B6">
        <w:rPr>
          <w:szCs w:val="20"/>
          <w:lang w:val="en-US"/>
        </w:rPr>
        <w:instrText xml:space="preserve"> SEQ Proposal \* ARABIC </w:instrText>
      </w:r>
      <w:r w:rsidRPr="005271B6">
        <w:rPr>
          <w:szCs w:val="20"/>
          <w:lang w:val="en-US"/>
        </w:rPr>
        <w:fldChar w:fldCharType="separate"/>
      </w:r>
      <w:r w:rsidR="0015073F">
        <w:rPr>
          <w:noProof/>
          <w:szCs w:val="20"/>
          <w:lang w:val="en-US"/>
        </w:rPr>
        <w:t>17</w:t>
      </w:r>
      <w:r w:rsidRPr="005271B6">
        <w:rPr>
          <w:noProof/>
          <w:szCs w:val="20"/>
          <w:lang w:val="en-US"/>
        </w:rPr>
        <w:fldChar w:fldCharType="end"/>
      </w:r>
      <w:r w:rsidRPr="005271B6">
        <w:rPr>
          <w:szCs w:val="20"/>
          <w:lang w:val="en-US"/>
        </w:rPr>
        <w:t>: Support SL-PRS transmission activation/deactivation at the physical layer by the UE’s own higher layers only.</w:t>
      </w:r>
      <w:bookmarkEnd w:id="27"/>
      <w:bookmarkEnd w:id="28"/>
    </w:p>
    <w:p w14:paraId="2B45DB96" w14:textId="77777777" w:rsidR="00C07D75" w:rsidRPr="00BE1B74" w:rsidRDefault="00C07D75" w:rsidP="00C07D75">
      <w:pPr>
        <w:pStyle w:val="Heading2"/>
      </w:pPr>
      <w:r w:rsidRPr="00BE1B74">
        <w:t>Configuration</w:t>
      </w:r>
    </w:p>
    <w:p w14:paraId="3205E5E1" w14:textId="77777777" w:rsidR="00C07D75" w:rsidRPr="00BE1B74" w:rsidRDefault="00C07D75" w:rsidP="00C07D75">
      <w:pPr>
        <w:rPr>
          <w:lang w:val="en-US"/>
        </w:rPr>
      </w:pPr>
      <w:r w:rsidRPr="00BE1B74">
        <w:rPr>
          <w:lang w:val="en-US"/>
        </w:rPr>
        <w:t>In sidelink, there are three methods for providing configuration to a UE: RRC pre-configuration, RRC configuration from the network, and PC5-RRC configuration from another UE. The first two are interchangeable from a PHY point of view and referred to as (pre-)configuration in RAN1 agreements and specifications. PC5-RRC configuration is limited to unicast and hence introduced unnecessary limitations to positioning operations. The limitations of using PC5-RRC as the sole configuration method and transport as discussed in detail in our RAN2 contribution.</w:t>
      </w:r>
    </w:p>
    <w:p w14:paraId="2750C128" w14:textId="041A03CD" w:rsidR="00C07D75" w:rsidRDefault="00C07D75" w:rsidP="00C07D75">
      <w:pPr>
        <w:pStyle w:val="Caption"/>
        <w:jc w:val="left"/>
        <w:rPr>
          <w:lang w:val="en-US"/>
        </w:rPr>
      </w:pPr>
      <w:bookmarkStart w:id="29" w:name="_Toc118472076"/>
      <w:bookmarkStart w:id="30" w:name="_Toc127524896"/>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5A7397">
        <w:rPr>
          <w:noProof/>
          <w:lang w:val="en-US"/>
        </w:rPr>
        <w:t>5</w:t>
      </w:r>
      <w:r w:rsidRPr="00BE1B74">
        <w:rPr>
          <w:noProof/>
          <w:lang w:val="en-US"/>
        </w:rPr>
        <w:fldChar w:fldCharType="end"/>
      </w:r>
      <w:r w:rsidRPr="00BE1B74">
        <w:rPr>
          <w:lang w:val="en-US"/>
        </w:rPr>
        <w:t>: PC5-RRC configuration is limited to unicast and could only be applied for that cast type. Hence it is not suitable as the sole method for SL-PRS configuration.</w:t>
      </w:r>
      <w:bookmarkEnd w:id="29"/>
      <w:bookmarkEnd w:id="30"/>
    </w:p>
    <w:p w14:paraId="499BE08E" w14:textId="6CA6F971" w:rsidR="007C7D69" w:rsidRDefault="007C7D69" w:rsidP="007C7D69">
      <w:pPr>
        <w:pStyle w:val="Caption"/>
      </w:pPr>
      <w:bookmarkStart w:id="31" w:name="_Toc128123804"/>
      <w:r>
        <w:t xml:space="preserve">Proposal </w:t>
      </w:r>
      <w:fldSimple w:instr=" SEQ Proposal \* ARABIC ">
        <w:r w:rsidR="0015073F">
          <w:rPr>
            <w:noProof/>
          </w:rPr>
          <w:t>18</w:t>
        </w:r>
      </w:fldSimple>
      <w:r>
        <w:t>: Higher layer signaling (SLPP) is used for configuration of SL-PRS.</w:t>
      </w:r>
      <w:bookmarkEnd w:id="31"/>
    </w:p>
    <w:p w14:paraId="5EDF8418" w14:textId="511EBFDB" w:rsidR="00B95EE0" w:rsidRPr="00B95EE0" w:rsidRDefault="00F739DD" w:rsidP="00B95EE0">
      <w:r>
        <w:t xml:space="preserve">The </w:t>
      </w:r>
      <w:r w:rsidR="003123EF">
        <w:t xml:space="preserve">Rel-17 </w:t>
      </w:r>
      <w:r>
        <w:t xml:space="preserve">inter-UE coordination framework </w:t>
      </w:r>
      <w:r w:rsidR="008F10AC">
        <w:t xml:space="preserve">cannot be used for the dedicated resource pool due to </w:t>
      </w:r>
      <w:r w:rsidR="00B17C90">
        <w:t>lack of cross resource singaling ability</w:t>
      </w:r>
      <w:r w:rsidR="00C64457">
        <w:t>. This</w:t>
      </w:r>
      <w:r w:rsidR="00B92D8C">
        <w:t xml:space="preserve"> issue</w:t>
      </w:r>
      <w:r w:rsidR="00E72E24">
        <w:t xml:space="preserve"> goes beyond </w:t>
      </w:r>
      <w:r w:rsidR="00B3083E">
        <w:t>lack of fields in signaling since</w:t>
      </w:r>
      <w:r w:rsidR="005543DD">
        <w:t xml:space="preserve"> </w:t>
      </w:r>
      <w:r w:rsidR="000C4639">
        <w:rPr>
          <w:lang w:val="en-US"/>
        </w:rPr>
        <w:t>the same resource pool could have different indices at different UEs, for example if the UEs have a different number of resource pools or the UEs are configured by different networks.</w:t>
      </w:r>
      <w:r w:rsidR="00AE4699">
        <w:rPr>
          <w:lang w:val="en-US"/>
        </w:rPr>
        <w:t xml:space="preserve"> We propose to </w:t>
      </w:r>
      <w:r w:rsidR="00C41B02">
        <w:rPr>
          <w:lang w:val="en-US"/>
        </w:rPr>
        <w:t>pos</w:t>
      </w:r>
      <w:r w:rsidR="00AE4699">
        <w:rPr>
          <w:lang w:val="en-US"/>
        </w:rPr>
        <w:t xml:space="preserve"> inter-UE coordination</w:t>
      </w:r>
    </w:p>
    <w:p w14:paraId="3714D28E" w14:textId="6C3D1BE3" w:rsidR="003711D7" w:rsidRPr="002501AF" w:rsidRDefault="003711D7" w:rsidP="002501AF">
      <w:pPr>
        <w:pStyle w:val="3GPPH1"/>
      </w:pPr>
      <w:r w:rsidRPr="002501AF">
        <w:t>Reservation</w:t>
      </w:r>
      <w:r w:rsidR="00E45D60">
        <w:t>s</w:t>
      </w:r>
      <w:r w:rsidRPr="002501AF">
        <w:t xml:space="preserve"> and Signaling Details</w:t>
      </w:r>
    </w:p>
    <w:p w14:paraId="7A0F8425" w14:textId="49E4F14B" w:rsidR="003711D7" w:rsidRDefault="0065049E" w:rsidP="003711D7">
      <w:pPr>
        <w:rPr>
          <w:lang w:val="en-US"/>
        </w:rPr>
      </w:pPr>
      <w:r>
        <w:rPr>
          <w:lang w:val="en-US"/>
        </w:rPr>
        <w:t>RAN1 agreed to use at least SCI for indicating SL-PRS reservations or resources:</w:t>
      </w:r>
    </w:p>
    <w:tbl>
      <w:tblPr>
        <w:tblStyle w:val="TableGrid"/>
        <w:tblW w:w="0" w:type="auto"/>
        <w:tblLook w:val="04A0" w:firstRow="1" w:lastRow="0" w:firstColumn="1" w:lastColumn="0" w:noHBand="0" w:noVBand="1"/>
      </w:tblPr>
      <w:tblGrid>
        <w:gridCol w:w="9629"/>
      </w:tblGrid>
      <w:tr w:rsidR="0065049E" w14:paraId="3DCFA214" w14:textId="77777777" w:rsidTr="0065049E">
        <w:tc>
          <w:tcPr>
            <w:tcW w:w="9629" w:type="dxa"/>
          </w:tcPr>
          <w:p w14:paraId="3F8BAC89" w14:textId="77777777" w:rsidR="006B19CF" w:rsidRPr="001E3EB6" w:rsidRDefault="006B19CF" w:rsidP="006B19CF">
            <w:pPr>
              <w:ind w:left="284"/>
            </w:pPr>
            <w:r w:rsidRPr="001E3EB6">
              <w:rPr>
                <w:highlight w:val="green"/>
              </w:rPr>
              <w:t>Agreement</w:t>
            </w:r>
          </w:p>
          <w:p w14:paraId="6C66D8BC" w14:textId="77777777" w:rsidR="006B19CF" w:rsidRDefault="006B19CF" w:rsidP="006B19CF">
            <w:pPr>
              <w:ind w:left="284"/>
            </w:pPr>
            <w:r>
              <w:t xml:space="preserve">With regards to </w:t>
            </w:r>
            <w:r w:rsidRPr="001134EC">
              <w:t>SL signaling of</w:t>
            </w:r>
            <w:r>
              <w:t xml:space="preserve"> the reservation/indication of SL-PRS resource(s) for dedicated resource pool and shared resource pool (if supported) for positioning:</w:t>
            </w:r>
          </w:p>
          <w:p w14:paraId="4095A3C0" w14:textId="77777777" w:rsidR="006B19CF" w:rsidRPr="001134EC" w:rsidRDefault="006B19CF" w:rsidP="006B19CF">
            <w:pPr>
              <w:numPr>
                <w:ilvl w:val="0"/>
                <w:numId w:val="31"/>
              </w:numPr>
              <w:spacing w:after="160" w:line="252" w:lineRule="auto"/>
              <w:ind w:left="1004"/>
              <w:contextualSpacing/>
              <w:jc w:val="left"/>
              <w:rPr>
                <w:rFonts w:eastAsia="SimSun"/>
              </w:rPr>
            </w:pPr>
            <w:r w:rsidRPr="001134EC">
              <w:rPr>
                <w:rFonts w:eastAsia="SimSun"/>
              </w:rPr>
              <w:t>Option A.1: SCI can be used for reserving/indicating one or more SL-PRS resource(s)</w:t>
            </w:r>
          </w:p>
          <w:p w14:paraId="47B7D58A"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Note: This does NOT mean that only SCI is being used. There can still be higher layer signaling for the purpose of indicating a part of SL-PRS configuration.</w:t>
            </w:r>
          </w:p>
          <w:p w14:paraId="7287F256"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FFS: Whether SCI is single stage SCI or two stage SCI</w:t>
            </w:r>
          </w:p>
          <w:p w14:paraId="164DB2C3" w14:textId="584F3CE5" w:rsidR="0065049E" w:rsidRPr="006B19CF" w:rsidRDefault="006B19CF" w:rsidP="003711D7">
            <w:pPr>
              <w:numPr>
                <w:ilvl w:val="0"/>
                <w:numId w:val="31"/>
              </w:numPr>
              <w:spacing w:after="160" w:line="252" w:lineRule="auto"/>
              <w:ind w:left="1004"/>
              <w:contextualSpacing/>
              <w:jc w:val="left"/>
              <w:rPr>
                <w:rFonts w:eastAsia="SimSun"/>
              </w:rPr>
            </w:pPr>
            <w:r w:rsidRPr="001134EC">
              <w:rPr>
                <w:rFonts w:eastAsia="SimSun"/>
              </w:rPr>
              <w:t>FFS: SL-MAC-CE or other higher-layer signaling reservation/indication</w:t>
            </w:r>
          </w:p>
        </w:tc>
      </w:tr>
    </w:tbl>
    <w:p w14:paraId="65D8590C" w14:textId="0EAA4FE9" w:rsidR="006B19CF" w:rsidRDefault="006B19CF" w:rsidP="006B19CF">
      <w:pPr>
        <w:rPr>
          <w:lang w:val="en-US"/>
        </w:rPr>
      </w:pPr>
    </w:p>
    <w:p w14:paraId="36C85671" w14:textId="03A8FB4F" w:rsidR="006B19CF" w:rsidRDefault="0000369F" w:rsidP="006B19CF">
      <w:pPr>
        <w:rPr>
          <w:lang w:val="en-US"/>
        </w:rPr>
      </w:pPr>
      <w:r>
        <w:rPr>
          <w:lang w:val="en-US"/>
        </w:rPr>
        <w:t>I</w:t>
      </w:r>
      <w:r w:rsidR="006E567B">
        <w:rPr>
          <w:lang w:val="en-US"/>
        </w:rPr>
        <w:t xml:space="preserve">n addition to indicating SL-PRS resources in SCI-1, we propose to </w:t>
      </w:r>
      <w:r w:rsidR="00FA63BE">
        <w:rPr>
          <w:lang w:val="en-US"/>
        </w:rPr>
        <w:t>also include them in higher-layer messages</w:t>
      </w:r>
      <w:r w:rsidR="00851D0B">
        <w:rPr>
          <w:lang w:val="en-US"/>
        </w:rPr>
        <w:t xml:space="preserve"> (SLPP)</w:t>
      </w:r>
      <w:r w:rsidR="00FA63BE">
        <w:rPr>
          <w:lang w:val="en-US"/>
        </w:rPr>
        <w:t xml:space="preserve"> that can be sent on a sidelink communication resource pool prior to the SL-PRS transmission</w:t>
      </w:r>
      <w:r w:rsidR="001458F0">
        <w:rPr>
          <w:lang w:val="en-US"/>
        </w:rPr>
        <w:t xml:space="preserve"> when possible</w:t>
      </w:r>
      <w:r w:rsidR="00FA63BE">
        <w:rPr>
          <w:lang w:val="en-US"/>
        </w:rPr>
        <w:t xml:space="preserve">. This allows the receiver </w:t>
      </w:r>
      <w:r w:rsidR="00337C65">
        <w:rPr>
          <w:lang w:val="en-US"/>
        </w:rPr>
        <w:t xml:space="preserve">to </w:t>
      </w:r>
      <w:r w:rsidR="001458F0">
        <w:rPr>
          <w:lang w:val="en-US"/>
        </w:rPr>
        <w:t>anticipate when SL-PRS would arrive</w:t>
      </w:r>
      <w:r w:rsidR="008F33F8">
        <w:rPr>
          <w:lang w:val="en-US"/>
        </w:rPr>
        <w:t xml:space="preserve">. In addition to </w:t>
      </w:r>
      <w:r w:rsidR="006D2AA7">
        <w:rPr>
          <w:lang w:val="en-US"/>
        </w:rPr>
        <w:t xml:space="preserve">SL-PRS time and frequency resources, </w:t>
      </w:r>
      <w:r w:rsidR="00851D0B">
        <w:rPr>
          <w:lang w:val="en-US"/>
        </w:rPr>
        <w:t>higher layer</w:t>
      </w:r>
      <w:r w:rsidR="00FB5EC2">
        <w:rPr>
          <w:lang w:val="en-US"/>
        </w:rPr>
        <w:t xml:space="preserve"> message would include </w:t>
      </w:r>
      <w:r w:rsidR="001E3C19">
        <w:rPr>
          <w:lang w:val="en-US"/>
        </w:rPr>
        <w:t xml:space="preserve">positioning method, </w:t>
      </w:r>
      <w:r w:rsidR="007C28C6">
        <w:rPr>
          <w:lang w:val="en-US"/>
        </w:rPr>
        <w:t xml:space="preserve">periodicity, </w:t>
      </w:r>
      <w:r w:rsidR="00827EC1">
        <w:rPr>
          <w:lang w:val="en-US"/>
        </w:rPr>
        <w:t xml:space="preserve">comb size and offset, </w:t>
      </w:r>
      <w:r w:rsidR="00A04E48">
        <w:rPr>
          <w:lang w:val="en-US"/>
        </w:rPr>
        <w:t>scrambling seed</w:t>
      </w:r>
      <w:r w:rsidR="00B977CA">
        <w:rPr>
          <w:lang w:val="en-US"/>
        </w:rPr>
        <w:t xml:space="preserve"> parameter</w:t>
      </w:r>
      <w:r w:rsidR="00A04E48">
        <w:rPr>
          <w:lang w:val="en-US"/>
        </w:rPr>
        <w:t xml:space="preserve">, </w:t>
      </w:r>
      <w:r w:rsidR="00645B4F">
        <w:rPr>
          <w:lang w:val="en-US"/>
        </w:rPr>
        <w:t xml:space="preserve">cast type, </w:t>
      </w:r>
      <w:r w:rsidR="00764F7D">
        <w:rPr>
          <w:lang w:val="en-US"/>
        </w:rPr>
        <w:t>QoS</w:t>
      </w:r>
      <w:r w:rsidR="00FF51A9">
        <w:rPr>
          <w:lang w:val="en-US"/>
        </w:rPr>
        <w:t xml:space="preserve">, </w:t>
      </w:r>
      <w:r w:rsidR="008509CF">
        <w:rPr>
          <w:lang w:val="en-US"/>
        </w:rPr>
        <w:t xml:space="preserve">and </w:t>
      </w:r>
      <w:r w:rsidR="005C471E">
        <w:rPr>
          <w:lang w:val="en-US"/>
        </w:rPr>
        <w:t>identification information.</w:t>
      </w:r>
      <w:r w:rsidR="00D4383B">
        <w:rPr>
          <w:lang w:val="en-US"/>
        </w:rPr>
        <w:t xml:space="preserve"> This also reduces the size of required L1 messages.</w:t>
      </w:r>
    </w:p>
    <w:p w14:paraId="24635D4F" w14:textId="5563A00F" w:rsidR="00B12B6C" w:rsidRDefault="005C471E" w:rsidP="0047649C">
      <w:pPr>
        <w:pStyle w:val="Caption"/>
      </w:pPr>
      <w:bookmarkStart w:id="32" w:name="_Toc128123805"/>
      <w:r>
        <w:t xml:space="preserve">Proposal </w:t>
      </w:r>
      <w:fldSimple w:instr=" SEQ Proposal \* ARABIC ">
        <w:r w:rsidR="0015073F">
          <w:rPr>
            <w:noProof/>
          </w:rPr>
          <w:t>19</w:t>
        </w:r>
      </w:fldSimple>
      <w:r>
        <w:t>: Higher layers message (SLPP) contain</w:t>
      </w:r>
      <w:r w:rsidR="001054CF">
        <w:t xml:space="preserve"> </w:t>
      </w:r>
      <w:r w:rsidR="001E3C19">
        <w:t xml:space="preserve">positioning method, </w:t>
      </w:r>
      <w:r w:rsidR="009C4889">
        <w:t xml:space="preserve">SL-PRS periodicity, comb size, comb offset, </w:t>
      </w:r>
      <w:r w:rsidR="009B31CC">
        <w:t xml:space="preserve">scrambling seed parameter, </w:t>
      </w:r>
      <w:r w:rsidR="00645B4F">
        <w:t xml:space="preserve">cast type, </w:t>
      </w:r>
      <w:r w:rsidR="00FF51A9">
        <w:t xml:space="preserve">QoS, </w:t>
      </w:r>
      <w:r w:rsidR="009B31CC">
        <w:t xml:space="preserve">and identification </w:t>
      </w:r>
      <w:r w:rsidR="009648DB">
        <w:t xml:space="preserve">information. In addition, they can include SL-PRS time and frequency </w:t>
      </w:r>
      <w:r w:rsidR="000E4B26">
        <w:t>resources.</w:t>
      </w:r>
      <w:bookmarkEnd w:id="32"/>
    </w:p>
    <w:p w14:paraId="79775DAB" w14:textId="38F6217D" w:rsidR="0047649C" w:rsidRDefault="00192589" w:rsidP="0047649C">
      <w:r>
        <w:t>In a dedicated resource pool and as discussed earlier, an SCI-1 would accompany</w:t>
      </w:r>
      <w:r w:rsidR="00C24769">
        <w:t xml:space="preserve"> SL-PRS in the same transmission. T</w:t>
      </w:r>
      <w:r w:rsidR="00440E25">
        <w:t xml:space="preserve">his would be a new SCI-1 format that </w:t>
      </w:r>
      <w:r w:rsidR="00AE23CE">
        <w:t xml:space="preserve">contains SL-PRS </w:t>
      </w:r>
      <w:r w:rsidR="00E62CB8">
        <w:t xml:space="preserve">time and frequency allocation, </w:t>
      </w:r>
      <w:r w:rsidR="006F49B9">
        <w:t xml:space="preserve">periodicity, </w:t>
      </w:r>
      <w:r w:rsidR="004151E6">
        <w:t xml:space="preserve">and identifiers associating the </w:t>
      </w:r>
      <w:r w:rsidR="001E4852">
        <w:t>SL-PRS with the positioning session and SL-PRS configuration</w:t>
      </w:r>
      <w:r w:rsidR="005E1D9D">
        <w:t xml:space="preserve"> index</w:t>
      </w:r>
      <w:r w:rsidR="000738C4">
        <w:t>.</w:t>
      </w:r>
    </w:p>
    <w:p w14:paraId="508AF92D" w14:textId="4D88F2CA" w:rsidR="001F7D9C" w:rsidRDefault="00D4383B" w:rsidP="00D4383B">
      <w:pPr>
        <w:pStyle w:val="Caption"/>
      </w:pPr>
      <w:bookmarkStart w:id="33" w:name="_Toc128123806"/>
      <w:r>
        <w:lastRenderedPageBreak/>
        <w:t xml:space="preserve">Proposal </w:t>
      </w:r>
      <w:fldSimple w:instr=" SEQ Proposal \* ARABIC ">
        <w:r w:rsidR="0015073F">
          <w:rPr>
            <w:noProof/>
          </w:rPr>
          <w:t>20</w:t>
        </w:r>
      </w:fldSimple>
      <w:r>
        <w:t xml:space="preserve">: </w:t>
      </w:r>
      <w:r w:rsidR="005C73E3">
        <w:t xml:space="preserve">In a dedicated resource pool, a new SCI-1 format is introduced and includes: </w:t>
      </w:r>
      <w:r w:rsidR="005C73E3" w:rsidRPr="005C73E3">
        <w:t>SL-PRS time and frequency allocation, periodicity, and identifiers associating the SL-PRS with the positioning session and SL-PRS configuration</w:t>
      </w:r>
      <w:r w:rsidR="005E1D9D">
        <w:t xml:space="preserve"> index</w:t>
      </w:r>
      <w:r w:rsidR="005C73E3">
        <w:t>.</w:t>
      </w:r>
      <w:bookmarkEnd w:id="33"/>
    </w:p>
    <w:p w14:paraId="611023F8" w14:textId="5FF915FC" w:rsidR="005C73E3" w:rsidRDefault="008352F9" w:rsidP="005C73E3">
      <w:r>
        <w:t>In the shared resource pool, and to maintain backward compatibility, part of this information would be included in a new SCI-2 format</w:t>
      </w:r>
      <w:r w:rsidR="000142B2">
        <w:t>.</w:t>
      </w:r>
    </w:p>
    <w:p w14:paraId="52EB3D9E" w14:textId="0BA33D78" w:rsidR="00F37DC8" w:rsidRPr="005C73E3" w:rsidRDefault="00F37DC8" w:rsidP="00F37DC8">
      <w:pPr>
        <w:pStyle w:val="Caption"/>
      </w:pPr>
      <w:bookmarkStart w:id="34" w:name="_Toc128123807"/>
      <w:r>
        <w:t xml:space="preserve">Proposal </w:t>
      </w:r>
      <w:fldSimple w:instr=" SEQ Proposal \* ARABIC ">
        <w:r w:rsidR="0015073F">
          <w:rPr>
            <w:noProof/>
          </w:rPr>
          <w:t>21</w:t>
        </w:r>
      </w:fldSimple>
      <w:r>
        <w:t>: In a shared resource pool, legacy SCI-1A format is used to indicate transmission time-frequency resources</w:t>
      </w:r>
      <w:r w:rsidR="00F62A16">
        <w:t xml:space="preserve"> and periodicity.</w:t>
      </w:r>
      <w:bookmarkEnd w:id="34"/>
    </w:p>
    <w:p w14:paraId="5080C20A" w14:textId="246265CC" w:rsidR="001F7D9C" w:rsidRPr="0047649C" w:rsidRDefault="009769EE" w:rsidP="009769EE">
      <w:pPr>
        <w:pStyle w:val="Caption"/>
      </w:pPr>
      <w:bookmarkStart w:id="35" w:name="_Toc128123808"/>
      <w:r>
        <w:t xml:space="preserve">Proposal </w:t>
      </w:r>
      <w:fldSimple w:instr=" SEQ Proposal \* ARABIC ">
        <w:r w:rsidR="0015073F">
          <w:rPr>
            <w:noProof/>
          </w:rPr>
          <w:t>22</w:t>
        </w:r>
      </w:fldSimple>
      <w:r>
        <w:t xml:space="preserve">: </w:t>
      </w:r>
      <w:r w:rsidR="00736EEC">
        <w:t xml:space="preserve">In a shared resource pool, a new SCI-2 format is introduced </w:t>
      </w:r>
      <w:r w:rsidR="00F34EC3">
        <w:t>and includes</w:t>
      </w:r>
      <w:r w:rsidR="00DD75D3">
        <w:t>: identifiers associating the SL-PRS with the positioning session and SL-PRS configuration index.</w:t>
      </w:r>
      <w:bookmarkEnd w:id="35"/>
    </w:p>
    <w:p w14:paraId="25746A52" w14:textId="37DD1C78" w:rsidR="00B24901" w:rsidRDefault="00B24901" w:rsidP="00B24901">
      <w:pPr>
        <w:pStyle w:val="Heading1"/>
        <w:rPr>
          <w:lang w:val="en-US"/>
        </w:rPr>
      </w:pPr>
      <w:r>
        <w:rPr>
          <w:lang w:val="en-US"/>
        </w:rPr>
        <w:t>Congestion Control</w:t>
      </w:r>
    </w:p>
    <w:p w14:paraId="17E20CEA" w14:textId="421D8D3E" w:rsidR="00A31D48" w:rsidRDefault="004C6B13" w:rsidP="00A31D48">
      <w:pPr>
        <w:rPr>
          <w:lang w:val="en-US"/>
        </w:rPr>
      </w:pPr>
      <w:r>
        <w:rPr>
          <w:lang w:val="en-US"/>
        </w:rPr>
        <w:t xml:space="preserve">Congestion control is an essential item required for </w:t>
      </w:r>
      <w:r w:rsidR="00D206AA">
        <w:rPr>
          <w:lang w:val="en-US"/>
        </w:rPr>
        <w:t>proper functionality of a sidelink system</w:t>
      </w:r>
      <w:r w:rsidR="00DE3019">
        <w:rPr>
          <w:lang w:val="en-US"/>
        </w:rPr>
        <w:t xml:space="preserve">. </w:t>
      </w:r>
      <w:r w:rsidR="0084371E">
        <w:rPr>
          <w:lang w:val="en-US"/>
        </w:rPr>
        <w:t xml:space="preserve">Without it, </w:t>
      </w:r>
      <w:r w:rsidR="0076272F">
        <w:rPr>
          <w:lang w:val="en-US"/>
        </w:rPr>
        <w:t>the system cannot adapt to changes in load</w:t>
      </w:r>
      <w:r w:rsidR="00556433">
        <w:rPr>
          <w:lang w:val="en-US"/>
        </w:rPr>
        <w:t xml:space="preserve">. </w:t>
      </w:r>
      <w:r w:rsidR="005B4040">
        <w:rPr>
          <w:lang w:val="en-US"/>
        </w:rPr>
        <w:t>In a</w:t>
      </w:r>
      <w:r w:rsidR="002C3700">
        <w:rPr>
          <w:lang w:val="en-US"/>
        </w:rPr>
        <w:t xml:space="preserve"> shared resource poo</w:t>
      </w:r>
      <w:r w:rsidR="004B41DF">
        <w:rPr>
          <w:lang w:val="en-US"/>
        </w:rPr>
        <w:t>l</w:t>
      </w:r>
      <w:r w:rsidR="00B82315">
        <w:rPr>
          <w:lang w:val="en-US"/>
        </w:rPr>
        <w:t xml:space="preserve">, the existing congestion </w:t>
      </w:r>
      <w:r w:rsidR="002C239E">
        <w:rPr>
          <w:lang w:val="en-US"/>
        </w:rPr>
        <w:t>control mechanism can be reused with minimal changes. Similarly, in a de</w:t>
      </w:r>
      <w:r w:rsidR="009C06B6">
        <w:rPr>
          <w:lang w:val="en-US"/>
        </w:rPr>
        <w:t>dicated resource pool</w:t>
      </w:r>
      <w:r w:rsidR="003D633B">
        <w:rPr>
          <w:lang w:val="en-US"/>
        </w:rPr>
        <w:t xml:space="preserve">, the existing </w:t>
      </w:r>
      <w:r w:rsidR="00E06CC5">
        <w:rPr>
          <w:lang w:val="en-US"/>
        </w:rPr>
        <w:t>mechanism can be reused with minor updates to measurements.</w:t>
      </w:r>
    </w:p>
    <w:p w14:paraId="53AC5888" w14:textId="517F5537" w:rsidR="0015073F" w:rsidRPr="00A31D48" w:rsidRDefault="0015073F" w:rsidP="0015073F">
      <w:pPr>
        <w:pStyle w:val="Caption"/>
        <w:rPr>
          <w:lang w:val="en-US"/>
        </w:rPr>
      </w:pPr>
      <w:bookmarkStart w:id="36" w:name="_Toc128123809"/>
      <w:r>
        <w:t xml:space="preserve">Proposal </w:t>
      </w:r>
      <w:fldSimple w:instr=" SEQ Proposal \* ARABIC ">
        <w:r>
          <w:rPr>
            <w:noProof/>
          </w:rPr>
          <w:t>23</w:t>
        </w:r>
      </w:fldSimple>
      <w:r>
        <w:t xml:space="preserve">: Congestion control is introduced for transmissions with SL-PRS and the </w:t>
      </w:r>
      <w:r w:rsidR="001E0088">
        <w:t xml:space="preserve">existing congestion mechanism from sidelink communications is reused with </w:t>
      </w:r>
      <w:r w:rsidR="00CC7261">
        <w:t>updates if necessary.</w:t>
      </w:r>
      <w:bookmarkEnd w:id="36"/>
    </w:p>
    <w:p w14:paraId="20C1662A" w14:textId="3D480AAE" w:rsidR="00466590" w:rsidRPr="00F52A37" w:rsidRDefault="00466590" w:rsidP="00A31D48">
      <w:pPr>
        <w:pStyle w:val="Heading1"/>
        <w:rPr>
          <w:lang w:val="en-US"/>
        </w:rPr>
      </w:pPr>
      <w:r w:rsidRPr="00F52A37">
        <w:rPr>
          <w:lang w:val="en-US"/>
        </w:rPr>
        <w:t>Conclusions</w:t>
      </w:r>
    </w:p>
    <w:p w14:paraId="2332B2F5" w14:textId="5FD5A61D" w:rsidR="00F11E61" w:rsidRDefault="00F11E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27524892" w:history="1">
        <w:r w:rsidRPr="00C425EE">
          <w:rPr>
            <w:rStyle w:val="Hyperlink"/>
            <w:noProof/>
          </w:rPr>
          <w:t>Observation 1: To enable multiple transmissions with SL-PRS in a slot duration, the multiple starting occasions design from SL-U could be considered once more details are decided.</w:t>
        </w:r>
      </w:hyperlink>
    </w:p>
    <w:p w14:paraId="6B0832D3" w14:textId="552D10DA" w:rsidR="00F11E61" w:rsidRDefault="002B3543">
      <w:pPr>
        <w:pStyle w:val="TableofFigures"/>
        <w:tabs>
          <w:tab w:val="right" w:leader="dot" w:pos="9629"/>
        </w:tabs>
        <w:rPr>
          <w:rFonts w:asciiTheme="minorHAnsi" w:eastAsiaTheme="minorEastAsia" w:hAnsiTheme="minorHAnsi" w:cstheme="minorBidi"/>
          <w:noProof/>
          <w:sz w:val="22"/>
          <w:szCs w:val="22"/>
          <w:lang w:val="en-US"/>
        </w:rPr>
      </w:pPr>
      <w:hyperlink w:anchor="_Toc127524893" w:history="1">
        <w:r w:rsidR="00F11E61" w:rsidRPr="00C425EE">
          <w:rPr>
            <w:rStyle w:val="Hyperlink"/>
            <w:noProof/>
            <w:lang w:val="en-US"/>
          </w:rPr>
          <w:t>Observation 2: Operations are generally being triggered by the UE’s own higher layers in sidelink when using Mode 2 RA.</w:t>
        </w:r>
      </w:hyperlink>
    </w:p>
    <w:p w14:paraId="3492AFFB" w14:textId="537B3570" w:rsidR="00F11E61" w:rsidRDefault="002B3543">
      <w:pPr>
        <w:pStyle w:val="TableofFigures"/>
        <w:tabs>
          <w:tab w:val="right" w:leader="dot" w:pos="9629"/>
        </w:tabs>
        <w:rPr>
          <w:rFonts w:asciiTheme="minorHAnsi" w:eastAsiaTheme="minorEastAsia" w:hAnsiTheme="minorHAnsi" w:cstheme="minorBidi"/>
          <w:noProof/>
          <w:sz w:val="22"/>
          <w:szCs w:val="22"/>
          <w:lang w:val="en-US"/>
        </w:rPr>
      </w:pPr>
      <w:hyperlink w:anchor="_Toc127524894" w:history="1">
        <w:r w:rsidR="00F11E61" w:rsidRPr="00C425EE">
          <w:rPr>
            <w:rStyle w:val="Hyperlink"/>
            <w:noProof/>
            <w:lang w:val="en-US"/>
          </w:rPr>
          <w:t>Observation 3: Triggering SL-PRS by higher layers offers enhanced security and knowledge of scenario requirements compared to triggering by lower layers.</w:t>
        </w:r>
      </w:hyperlink>
    </w:p>
    <w:p w14:paraId="7A75F63D" w14:textId="6983700E" w:rsidR="00F11E61" w:rsidRDefault="002B3543">
      <w:pPr>
        <w:pStyle w:val="TableofFigures"/>
        <w:tabs>
          <w:tab w:val="right" w:leader="dot" w:pos="9629"/>
        </w:tabs>
        <w:rPr>
          <w:rFonts w:asciiTheme="minorHAnsi" w:eastAsiaTheme="minorEastAsia" w:hAnsiTheme="minorHAnsi" w:cstheme="minorBidi"/>
          <w:noProof/>
          <w:sz w:val="22"/>
          <w:szCs w:val="22"/>
          <w:lang w:val="en-US"/>
        </w:rPr>
      </w:pPr>
      <w:hyperlink w:anchor="_Toc127524895" w:history="1">
        <w:r w:rsidR="00F11E61" w:rsidRPr="00C425EE">
          <w:rPr>
            <w:rStyle w:val="Hyperlink"/>
            <w:noProof/>
          </w:rPr>
          <w:t>Observation 4: The origin of an SL-PRS transmission trigger can be another UE, the network, LMF, or the UE itself when the UE’s PHY receives an SL-PRS transmissions trigger from its own higher layers.</w:t>
        </w:r>
      </w:hyperlink>
    </w:p>
    <w:p w14:paraId="1A747BFF" w14:textId="1D38C40F" w:rsidR="00F11E61" w:rsidRDefault="002B3543">
      <w:pPr>
        <w:pStyle w:val="TableofFigures"/>
        <w:tabs>
          <w:tab w:val="right" w:leader="dot" w:pos="9629"/>
        </w:tabs>
        <w:rPr>
          <w:rFonts w:asciiTheme="minorHAnsi" w:eastAsiaTheme="minorEastAsia" w:hAnsiTheme="minorHAnsi" w:cstheme="minorBidi"/>
          <w:noProof/>
          <w:sz w:val="22"/>
          <w:szCs w:val="22"/>
          <w:lang w:val="en-US"/>
        </w:rPr>
      </w:pPr>
      <w:hyperlink w:anchor="_Toc127524896" w:history="1">
        <w:r w:rsidR="00F11E61" w:rsidRPr="00C425EE">
          <w:rPr>
            <w:rStyle w:val="Hyperlink"/>
            <w:noProof/>
            <w:lang w:val="en-US"/>
          </w:rPr>
          <w:t>Observation 5: PC5-RRC configuration is limited to unicast and could only be applied for that cast type. Hence it is not suitable as the sole method for SL-PRS configuration.</w:t>
        </w:r>
      </w:hyperlink>
    </w:p>
    <w:p w14:paraId="783F3316" w14:textId="01C5A69B" w:rsidR="002F7D83" w:rsidRDefault="00F11E61" w:rsidP="005925EE">
      <w:pPr>
        <w:rPr>
          <w:lang w:val="en-US"/>
        </w:rPr>
      </w:pPr>
      <w:r>
        <w:rPr>
          <w:lang w:val="en-US"/>
        </w:rPr>
        <w:fldChar w:fldCharType="end"/>
      </w:r>
    </w:p>
    <w:p w14:paraId="564896AD" w14:textId="77E17793" w:rsidR="005E5C36" w:rsidRDefault="005B5734">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28123787" w:history="1">
        <w:r w:rsidR="005E5C36" w:rsidRPr="007321CF">
          <w:rPr>
            <w:rStyle w:val="Hyperlink"/>
            <w:noProof/>
          </w:rPr>
          <w:t>Proposal 1: In the shared resource pool, existing SCI-1A format is used. A new SCI-2 format can be used for positioning-related L1 signaling.</w:t>
        </w:r>
      </w:hyperlink>
    </w:p>
    <w:p w14:paraId="39C94A62" w14:textId="065636D1"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88" w:history="1">
        <w:r w:rsidRPr="007321CF">
          <w:rPr>
            <w:rStyle w:val="Hyperlink"/>
            <w:noProof/>
          </w:rPr>
          <w:t>Proposal 2: In the shared resource, the slot structure, including the AGC symbol, PSCCH, PSSCH is reused for transmissions with SL-PRS.</w:t>
        </w:r>
      </w:hyperlink>
    </w:p>
    <w:p w14:paraId="7A375BC7" w14:textId="6D9A0A40"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89" w:history="1">
        <w:r w:rsidRPr="007321CF">
          <w:rPr>
            <w:rStyle w:val="Hyperlink"/>
            <w:noProof/>
          </w:rPr>
          <w:t>Proposal 3: In a shared resource pool, different UEs are not allowed to multiplex SL-PRS on different comb offsets in the same OFDM symbol.</w:t>
        </w:r>
      </w:hyperlink>
    </w:p>
    <w:p w14:paraId="38C8DAC1" w14:textId="07286A50"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0" w:history="1">
        <w:r w:rsidRPr="007321CF">
          <w:rPr>
            <w:rStyle w:val="Hyperlink"/>
            <w:noProof/>
          </w:rPr>
          <w:t>Proposal 4: SL-PRS is mapped on contiguous symbols only and is not mapped on symbols with PSSCH DMRS, i.e. SL-PRS can only be mapped on one set of contiguous symbol either before, between, or after PSSCH DMRS.</w:t>
        </w:r>
      </w:hyperlink>
    </w:p>
    <w:p w14:paraId="0C7CE287" w14:textId="271FD65A"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1" w:history="1">
        <w:r w:rsidRPr="007321CF">
          <w:rPr>
            <w:rStyle w:val="Hyperlink"/>
            <w:noProof/>
          </w:rPr>
          <w:t xml:space="preserve">Proposal 5: Only SL-PRS and </w:t>
        </w:r>
        <w:r w:rsidRPr="007321CF">
          <w:rPr>
            <w:rStyle w:val="Hyperlink"/>
            <w:rFonts w:eastAsia="SimSun"/>
            <w:noProof/>
          </w:rPr>
          <w:t>PSCCH which carries SCI associated with SL-PRS transmission(s) are included in the dedicated resource pool.</w:t>
        </w:r>
      </w:hyperlink>
    </w:p>
    <w:p w14:paraId="2E0B024D" w14:textId="3C0CA4A1"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2" w:history="1">
        <w:r w:rsidRPr="007321CF">
          <w:rPr>
            <w:rStyle w:val="Hyperlink"/>
            <w:noProof/>
          </w:rPr>
          <w:t>Proposal 6: In the dedicated resource pool, SL-PRS transmissions from different UEs can be multiplexed on different comb offsets in SL-PRS if they fully overlap in time and frequency.</w:t>
        </w:r>
      </w:hyperlink>
    </w:p>
    <w:p w14:paraId="776412B8" w14:textId="48FBBCD6"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3" w:history="1">
        <w:r w:rsidRPr="007321CF">
          <w:rPr>
            <w:rStyle w:val="Hyperlink"/>
            <w:noProof/>
          </w:rPr>
          <w:t>Proposal 7: In a shared resource pool, a resource used for transmission of SL-PRS is defined as a set of contiguous sub-channels in a slot, i.e. the existing definition for a sidelink resource is reused.</w:t>
        </w:r>
      </w:hyperlink>
    </w:p>
    <w:p w14:paraId="552F1960" w14:textId="135B6330"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4" w:history="1">
        <w:r w:rsidRPr="007321CF">
          <w:rPr>
            <w:rStyle w:val="Hyperlink"/>
            <w:noProof/>
          </w:rPr>
          <w:t>Proposal 8: In a dedicated resource pool, a resource used for transmission of SL-PRS is defined as a set of contiguous sub-channels in a slot with a comb offset.</w:t>
        </w:r>
      </w:hyperlink>
    </w:p>
    <w:p w14:paraId="0AED4D86" w14:textId="6F5857D0"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5" w:history="1">
        <w:r w:rsidRPr="007321CF">
          <w:rPr>
            <w:rStyle w:val="Hyperlink"/>
            <w:noProof/>
          </w:rPr>
          <w:t>Proposal 9: In Scheme 1 resource allocation, SL-PRS resources are indicated in higher-layer messages from the LMF.</w:t>
        </w:r>
      </w:hyperlink>
    </w:p>
    <w:p w14:paraId="4CC3B265" w14:textId="1354FFCD"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6" w:history="1">
        <w:r w:rsidRPr="007321CF">
          <w:rPr>
            <w:rStyle w:val="Hyperlink"/>
            <w:noProof/>
          </w:rPr>
          <w:t>Proposal 10: Both sensing-based resource allocation and random resource selection should be introduced.</w:t>
        </w:r>
      </w:hyperlink>
    </w:p>
    <w:p w14:paraId="0A9FA6AF" w14:textId="1D7613D2"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7" w:history="1">
        <w:r w:rsidRPr="007321CF">
          <w:rPr>
            <w:rStyle w:val="Hyperlink"/>
            <w:noProof/>
          </w:rPr>
          <w:t>Proposal 11: In Scheme 2 resource allocation, SL-PRS resources are indicated to lower layers by the UE’s higher layers.</w:t>
        </w:r>
      </w:hyperlink>
    </w:p>
    <w:p w14:paraId="29CA40D2" w14:textId="03175D98"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8" w:history="1">
        <w:r w:rsidRPr="007321CF">
          <w:rPr>
            <w:rStyle w:val="Hyperlink"/>
            <w:noProof/>
          </w:rPr>
          <w:t>Proposal 12: In Scheme 2 resource allocation, lower layers report sensing results based on decoding SCI-1 to higher layers.</w:t>
        </w:r>
      </w:hyperlink>
    </w:p>
    <w:p w14:paraId="4F258970" w14:textId="4C8F252C"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799" w:history="1">
        <w:r w:rsidRPr="007321CF">
          <w:rPr>
            <w:rStyle w:val="Hyperlink"/>
            <w:noProof/>
          </w:rPr>
          <w:t>Proposal 13: Higher layers directly indicate the SL-PRS resource selection window to lower layers.</w:t>
        </w:r>
      </w:hyperlink>
    </w:p>
    <w:p w14:paraId="6E165CA9" w14:textId="3AA33FB8"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0" w:history="1">
        <w:r w:rsidRPr="007321CF">
          <w:rPr>
            <w:rStyle w:val="Hyperlink"/>
            <w:noProof/>
          </w:rPr>
          <w:t>Proposal 14: Postpone inter-UE coordination discussions until essential aspects of sidelink positioning are complete.</w:t>
        </w:r>
      </w:hyperlink>
    </w:p>
    <w:p w14:paraId="6AEDAA77" w14:textId="0A96325A"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1" w:history="1">
        <w:r w:rsidRPr="007321CF">
          <w:rPr>
            <w:rStyle w:val="Hyperlink"/>
            <w:noProof/>
            <w:lang w:val="en-US"/>
          </w:rPr>
          <w:t>Proposal 15: Support SL-PRS transmission triggering at the physical layer by the UE’s own higher layers only.</w:t>
        </w:r>
      </w:hyperlink>
    </w:p>
    <w:p w14:paraId="3AB186CD" w14:textId="582954AC"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2" w:history="1">
        <w:r w:rsidRPr="007321CF">
          <w:rPr>
            <w:rStyle w:val="Hyperlink"/>
            <w:noProof/>
          </w:rPr>
          <w:t>Proposal 16: Requests for transmission of SL-PRS are introduced as higher-layer messages and no explicit support is needed in lower layers.</w:t>
        </w:r>
      </w:hyperlink>
    </w:p>
    <w:p w14:paraId="478D2BC8" w14:textId="1C6C4969"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3" w:history="1">
        <w:r w:rsidRPr="007321CF">
          <w:rPr>
            <w:rStyle w:val="Hyperlink"/>
            <w:noProof/>
            <w:lang w:val="en-US"/>
          </w:rPr>
          <w:t>Proposal 17: Support SL-PRS transmission activation/deactivation at the physical layer by the UE’s own higher layers only.</w:t>
        </w:r>
      </w:hyperlink>
    </w:p>
    <w:p w14:paraId="0DD5722C" w14:textId="6ABFDCAF"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4" w:history="1">
        <w:r w:rsidRPr="007321CF">
          <w:rPr>
            <w:rStyle w:val="Hyperlink"/>
            <w:noProof/>
          </w:rPr>
          <w:t>Proposal 18: Higher layer signaling (SLPP) is used for configuration of SL-PRS.</w:t>
        </w:r>
      </w:hyperlink>
    </w:p>
    <w:p w14:paraId="5089C5A5" w14:textId="63E7AC53"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5" w:history="1">
        <w:r w:rsidRPr="007321CF">
          <w:rPr>
            <w:rStyle w:val="Hyperlink"/>
            <w:noProof/>
          </w:rPr>
          <w:t>Proposal 19: Higher layers message (SLPP) contain positioning method, SL-PRS periodicity, comb size, comb offset, scrambling seed parameter, cast type, QoS, and identification information. In addition, they can include SL-PRS time and frequency resources.</w:t>
        </w:r>
      </w:hyperlink>
    </w:p>
    <w:p w14:paraId="5070259B" w14:textId="06E8E71C"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6" w:history="1">
        <w:r w:rsidRPr="007321CF">
          <w:rPr>
            <w:rStyle w:val="Hyperlink"/>
            <w:noProof/>
          </w:rPr>
          <w:t>Proposal 20: In a dedicated resource pool, a new SCI-1 format is introduced and includes: SL-PRS time and frequency allocation, periodicity, and identifiers associating the SL-PRS with the positioning session and SL-PRS configuration index.</w:t>
        </w:r>
      </w:hyperlink>
    </w:p>
    <w:p w14:paraId="795F7CE7" w14:textId="2839BE4D"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7" w:history="1">
        <w:r w:rsidRPr="007321CF">
          <w:rPr>
            <w:rStyle w:val="Hyperlink"/>
            <w:noProof/>
          </w:rPr>
          <w:t>Proposal 21: In a shared resource pool, legacy SCI-1A format is used to indicate transmission time-frequency resources and periodicity.</w:t>
        </w:r>
      </w:hyperlink>
    </w:p>
    <w:p w14:paraId="5F47A2B3" w14:textId="078A6271"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8" w:history="1">
        <w:r w:rsidRPr="007321CF">
          <w:rPr>
            <w:rStyle w:val="Hyperlink"/>
            <w:noProof/>
          </w:rPr>
          <w:t>Proposal 22: In a shared resource pool, a new SCI-2 format is introduced and includes: identifiers associating the SL-PRS with the positioning session and SL-PRS configuration index.</w:t>
        </w:r>
      </w:hyperlink>
    </w:p>
    <w:p w14:paraId="5A39A5BC" w14:textId="0D6DCA2D" w:rsidR="005E5C36" w:rsidRDefault="005E5C36">
      <w:pPr>
        <w:pStyle w:val="TableofFigures"/>
        <w:tabs>
          <w:tab w:val="right" w:leader="dot" w:pos="9629"/>
        </w:tabs>
        <w:rPr>
          <w:rFonts w:asciiTheme="minorHAnsi" w:eastAsiaTheme="minorEastAsia" w:hAnsiTheme="minorHAnsi" w:cstheme="minorBidi"/>
          <w:noProof/>
          <w:sz w:val="22"/>
          <w:szCs w:val="22"/>
          <w:lang w:val="en-US"/>
        </w:rPr>
      </w:pPr>
      <w:hyperlink w:anchor="_Toc128123809" w:history="1">
        <w:r w:rsidRPr="007321CF">
          <w:rPr>
            <w:rStyle w:val="Hyperlink"/>
            <w:noProof/>
          </w:rPr>
          <w:t>Proposal 23: Congestion control is introduced for transmissions with SL-PRS and the existing congestion mechanism from sidelink communications is reused with updates if necessary.</w:t>
        </w:r>
      </w:hyperlink>
    </w:p>
    <w:p w14:paraId="262D0BAB" w14:textId="70980F09" w:rsidR="00F11E61" w:rsidRPr="00BE1B74" w:rsidRDefault="005B5734" w:rsidP="005925EE">
      <w:pPr>
        <w:rPr>
          <w:lang w:val="en-US"/>
        </w:rPr>
      </w:pPr>
      <w:r>
        <w:rPr>
          <w:lang w:val="en-US"/>
        </w:rPr>
        <w:fldChar w:fldCharType="end"/>
      </w:r>
    </w:p>
    <w:p w14:paraId="42D533AD" w14:textId="5340DB2E" w:rsidR="0044506E" w:rsidRPr="00BE1B74" w:rsidRDefault="00466590" w:rsidP="00160BF0">
      <w:pPr>
        <w:pStyle w:val="3GPPH1"/>
        <w:numPr>
          <w:ilvl w:val="0"/>
          <w:numId w:val="0"/>
        </w:numPr>
      </w:pPr>
      <w:r w:rsidRPr="00BE1B74">
        <w:t>References</w:t>
      </w:r>
      <w:bookmarkStart w:id="37" w:name="_Ref450583331"/>
      <w:bookmarkEnd w:id="37"/>
    </w:p>
    <w:p w14:paraId="4584FFB6" w14:textId="1BB5CEC7" w:rsidR="00F4281B" w:rsidRPr="00A608A3"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8" w:name="_Ref111192391"/>
      <w:bookmarkStart w:id="39" w:name="_Ref127257816"/>
      <w:r w:rsidRPr="00A608A3">
        <w:rPr>
          <w:rFonts w:eastAsia="SimSun"/>
          <w:lang w:val="en-US"/>
        </w:rPr>
        <w:t>RP-</w:t>
      </w:r>
      <w:bookmarkEnd w:id="38"/>
      <w:r w:rsidR="004D0326" w:rsidRPr="00A608A3">
        <w:rPr>
          <w:rFonts w:eastAsia="SimSun"/>
          <w:lang w:val="en-US"/>
        </w:rPr>
        <w:t>223549</w:t>
      </w:r>
      <w:r w:rsidR="00941E24" w:rsidRPr="00A608A3">
        <w:rPr>
          <w:rFonts w:eastAsia="SimSun"/>
          <w:lang w:val="en-US"/>
        </w:rPr>
        <w:t>,</w:t>
      </w:r>
      <w:r w:rsidR="004D0326" w:rsidRPr="00A608A3">
        <w:rPr>
          <w:rFonts w:eastAsia="SimSun"/>
          <w:lang w:val="en-US"/>
        </w:rPr>
        <w:t xml:space="preserve"> “</w:t>
      </w:r>
      <w:r w:rsidR="00941E24" w:rsidRPr="00A608A3">
        <w:rPr>
          <w:rFonts w:eastAsia="SimSun"/>
          <w:lang w:val="en-US"/>
        </w:rPr>
        <w:t xml:space="preserve">New WID on Expanded and Improved NR Positioning,” </w:t>
      </w:r>
      <w:r w:rsidR="00CE36D6" w:rsidRPr="00A608A3">
        <w:rPr>
          <w:rFonts w:eastAsia="SimSun"/>
          <w:lang w:val="en-US"/>
        </w:rPr>
        <w:t>Intel Corporation, CATT, Ericsson. RAN #98-e.</w:t>
      </w:r>
      <w:bookmarkEnd w:id="39"/>
    </w:p>
    <w:p w14:paraId="214B9C43" w14:textId="1C965E1B"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0" w:name="_Ref127259689"/>
      <w:bookmarkStart w:id="41" w:name="_Ref127275521"/>
      <w:r w:rsidRPr="00A608A3">
        <w:rPr>
          <w:rFonts w:eastAsia="SimSun"/>
          <w:lang w:val="en-US"/>
        </w:rPr>
        <w:t>Chair’s notes, RAN1 #109</w:t>
      </w:r>
      <w:r w:rsidR="005A7A18" w:rsidRPr="00A608A3">
        <w:rPr>
          <w:rFonts w:eastAsia="SimSun"/>
          <w:lang w:val="en-US"/>
        </w:rPr>
        <w:t>-e,</w:t>
      </w:r>
      <w:r w:rsidRPr="00A608A3">
        <w:rPr>
          <w:rFonts w:eastAsia="SimSun"/>
          <w:lang w:val="en-US"/>
        </w:rPr>
        <w:t xml:space="preserve"> </w:t>
      </w:r>
      <w:r w:rsidR="002B3543">
        <w:rPr>
          <w:rFonts w:eastAsia="SimSun"/>
          <w:lang w:val="en-US"/>
        </w:rPr>
        <w:t>e</w:t>
      </w:r>
      <w:r w:rsidR="005A7A18" w:rsidRPr="00A608A3">
        <w:rPr>
          <w:rFonts w:eastAsia="SimSun"/>
          <w:lang w:val="en-US"/>
        </w:rPr>
        <w:t>lectronic meeting</w:t>
      </w:r>
      <w:r w:rsidRPr="00A608A3">
        <w:rPr>
          <w:rFonts w:eastAsia="SimSun"/>
          <w:lang w:val="en-US"/>
        </w:rPr>
        <w:t>.</w:t>
      </w:r>
      <w:bookmarkEnd w:id="40"/>
    </w:p>
    <w:p w14:paraId="6CB670DB" w14:textId="307CBD40"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A608A3">
        <w:rPr>
          <w:rFonts w:eastAsia="SimSun"/>
          <w:lang w:val="en-US"/>
        </w:rPr>
        <w:t>Chair’s notes, RAN1 #11</w:t>
      </w:r>
      <w:r w:rsidR="0028763B" w:rsidRPr="00A608A3">
        <w:rPr>
          <w:rFonts w:eastAsia="SimSun"/>
          <w:lang w:val="en-US"/>
        </w:rPr>
        <w:t>0</w:t>
      </w:r>
      <w:r w:rsidRPr="00A608A3">
        <w:rPr>
          <w:rFonts w:eastAsia="SimSun"/>
          <w:lang w:val="en-US"/>
        </w:rPr>
        <w:t>, Toulouse.</w:t>
      </w:r>
    </w:p>
    <w:p w14:paraId="2E147C71" w14:textId="057E0EA7"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2" w:name="_Ref127520722"/>
      <w:r w:rsidRPr="00A608A3">
        <w:rPr>
          <w:rFonts w:eastAsia="SimSun"/>
          <w:lang w:val="en-US"/>
        </w:rPr>
        <w:t>Chair’s notes, RAN1 #111, Toulouse.</w:t>
      </w:r>
      <w:bookmarkEnd w:id="42"/>
    </w:p>
    <w:p w14:paraId="5004DD08" w14:textId="4560EFFB" w:rsidR="00D50869" w:rsidRPr="00A608A3" w:rsidRDefault="00D50869"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3" w:name="_Ref127458150"/>
      <w:r w:rsidRPr="00A608A3">
        <w:rPr>
          <w:rFonts w:eastAsia="SimSun"/>
          <w:lang w:val="en-US"/>
        </w:rPr>
        <w:t>R1-</w:t>
      </w:r>
      <w:r w:rsidR="00D00450" w:rsidRPr="00D00450">
        <w:t xml:space="preserve"> </w:t>
      </w:r>
      <w:r w:rsidR="00D00450" w:rsidRPr="00D00450">
        <w:rPr>
          <w:rFonts w:eastAsia="SimSun"/>
          <w:lang w:val="en-US"/>
        </w:rPr>
        <w:t>2301417</w:t>
      </w:r>
      <w:r w:rsidRPr="00A608A3">
        <w:rPr>
          <w:rFonts w:eastAsia="SimSun"/>
          <w:lang w:val="en-US"/>
        </w:rPr>
        <w:t>, “</w:t>
      </w:r>
      <w:r w:rsidR="00BF50E9" w:rsidRPr="00A608A3">
        <w:rPr>
          <w:rFonts w:eastAsia="SimSun"/>
          <w:lang w:val="en-US"/>
        </w:rPr>
        <w:t>Reference Signal Design for SL Positioning,” Qualcomm Inc. RAN1 #112, Athens.</w:t>
      </w:r>
      <w:bookmarkEnd w:id="41"/>
      <w:bookmarkEnd w:id="43"/>
    </w:p>
    <w:p w14:paraId="2DE33C31" w14:textId="6AED90A7" w:rsidR="00025013" w:rsidRPr="00A608A3" w:rsidRDefault="00977E9C"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4" w:name="_Ref127516612"/>
      <w:r w:rsidRPr="00A608A3">
        <w:rPr>
          <w:rFonts w:eastAsia="SimSun"/>
          <w:lang w:val="en-US"/>
        </w:rPr>
        <w:t>3GPP TS 38.214, “</w:t>
      </w:r>
      <w:r w:rsidR="00A608A3" w:rsidRPr="00A608A3">
        <w:rPr>
          <w:rFonts w:eastAsia="SimSun"/>
          <w:lang w:val="en-US"/>
        </w:rPr>
        <w:t>Physical layer procedures for data (Release 17),” 3GPP.</w:t>
      </w:r>
      <w:bookmarkEnd w:id="44"/>
    </w:p>
    <w:sectPr w:rsidR="00025013" w:rsidRPr="00A608A3"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B7D1" w14:textId="77777777" w:rsidR="00A40D23" w:rsidRDefault="00A40D23">
      <w:r>
        <w:separator/>
      </w:r>
    </w:p>
  </w:endnote>
  <w:endnote w:type="continuationSeparator" w:id="0">
    <w:p w14:paraId="2F640491" w14:textId="77777777" w:rsidR="00A40D23" w:rsidRDefault="00A40D23">
      <w:r>
        <w:continuationSeparator/>
      </w:r>
    </w:p>
  </w:endnote>
  <w:endnote w:type="continuationNotice" w:id="1">
    <w:p w14:paraId="1F859440" w14:textId="77777777" w:rsidR="00A40D23" w:rsidRDefault="00A40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364F" w14:textId="77777777" w:rsidR="00A40D23" w:rsidRDefault="00A40D23">
      <w:r>
        <w:separator/>
      </w:r>
    </w:p>
  </w:footnote>
  <w:footnote w:type="continuationSeparator" w:id="0">
    <w:p w14:paraId="1904069A" w14:textId="77777777" w:rsidR="00A40D23" w:rsidRDefault="00A40D23">
      <w:r>
        <w:continuationSeparator/>
      </w:r>
    </w:p>
  </w:footnote>
  <w:footnote w:type="continuationNotice" w:id="1">
    <w:p w14:paraId="61BACE2D" w14:textId="77777777" w:rsidR="00A40D23" w:rsidRDefault="00A40D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FCBA2C6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D8274E"/>
    <w:multiLevelType w:val="multilevel"/>
    <w:tmpl w:val="A14E95FA"/>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0954BA"/>
    <w:multiLevelType w:val="hybridMultilevel"/>
    <w:tmpl w:val="BC0A5EBC"/>
    <w:lvl w:ilvl="0" w:tplc="B4F23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7"/>
  </w:num>
  <w:num w:numId="2" w16cid:durableId="1099064264">
    <w:abstractNumId w:val="16"/>
  </w:num>
  <w:num w:numId="3" w16cid:durableId="1141077213">
    <w:abstractNumId w:val="30"/>
  </w:num>
  <w:num w:numId="4" w16cid:durableId="797262782">
    <w:abstractNumId w:val="17"/>
  </w:num>
  <w:num w:numId="5" w16cid:durableId="809858812">
    <w:abstractNumId w:val="13"/>
  </w:num>
  <w:num w:numId="6" w16cid:durableId="1772503162">
    <w:abstractNumId w:val="22"/>
  </w:num>
  <w:num w:numId="7" w16cid:durableId="631711055">
    <w:abstractNumId w:val="3"/>
  </w:num>
  <w:num w:numId="8" w16cid:durableId="68843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2"/>
  </w:num>
  <w:num w:numId="10" w16cid:durableId="2113545839">
    <w:abstractNumId w:val="23"/>
  </w:num>
  <w:num w:numId="11" w16cid:durableId="687294692">
    <w:abstractNumId w:val="11"/>
  </w:num>
  <w:num w:numId="12" w16cid:durableId="1460417847">
    <w:abstractNumId w:val="8"/>
  </w:num>
  <w:num w:numId="13" w16cid:durableId="2024235069">
    <w:abstractNumId w:val="7"/>
  </w:num>
  <w:num w:numId="14" w16cid:durableId="870729717">
    <w:abstractNumId w:val="5"/>
  </w:num>
  <w:num w:numId="15" w16cid:durableId="1243755253">
    <w:abstractNumId w:val="29"/>
  </w:num>
  <w:num w:numId="16" w16cid:durableId="1524828170">
    <w:abstractNumId w:val="20"/>
  </w:num>
  <w:num w:numId="17" w16cid:durableId="1212308870">
    <w:abstractNumId w:val="19"/>
  </w:num>
  <w:num w:numId="18" w16cid:durableId="1020623873">
    <w:abstractNumId w:val="15"/>
  </w:num>
  <w:num w:numId="19" w16cid:durableId="1241452169">
    <w:abstractNumId w:val="26"/>
  </w:num>
  <w:num w:numId="20" w16cid:durableId="617494235">
    <w:abstractNumId w:val="6"/>
  </w:num>
  <w:num w:numId="21" w16cid:durableId="1996184219">
    <w:abstractNumId w:val="4"/>
  </w:num>
  <w:num w:numId="22" w16cid:durableId="2120026474">
    <w:abstractNumId w:val="33"/>
  </w:num>
  <w:num w:numId="23" w16cid:durableId="1080757712">
    <w:abstractNumId w:val="9"/>
  </w:num>
  <w:num w:numId="24" w16cid:durableId="1241477651">
    <w:abstractNumId w:val="29"/>
  </w:num>
  <w:num w:numId="25" w16cid:durableId="1419593921">
    <w:abstractNumId w:val="18"/>
  </w:num>
  <w:num w:numId="26" w16cid:durableId="1598904181">
    <w:abstractNumId w:val="2"/>
  </w:num>
  <w:num w:numId="27" w16cid:durableId="397284430">
    <w:abstractNumId w:val="1"/>
  </w:num>
  <w:num w:numId="28" w16cid:durableId="1635914634">
    <w:abstractNumId w:val="31"/>
  </w:num>
  <w:num w:numId="29" w16cid:durableId="361983121">
    <w:abstractNumId w:val="34"/>
  </w:num>
  <w:num w:numId="30" w16cid:durableId="1027560315">
    <w:abstractNumId w:val="25"/>
  </w:num>
  <w:num w:numId="31" w16cid:durableId="1495805713">
    <w:abstractNumId w:val="21"/>
  </w:num>
  <w:num w:numId="32" w16cid:durableId="164170247">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5"/>
  </w:num>
  <w:num w:numId="34" w16cid:durableId="1488788269">
    <w:abstractNumId w:val="28"/>
  </w:num>
  <w:num w:numId="35" w16cid:durableId="906889250">
    <w:abstractNumId w:val="14"/>
  </w:num>
  <w:num w:numId="36" w16cid:durableId="1686441215">
    <w:abstractNumId w:val="24"/>
  </w:num>
  <w:num w:numId="37" w16cid:durableId="10031638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6F4"/>
    <w:rsid w:val="000027BA"/>
    <w:rsid w:val="00002CD0"/>
    <w:rsid w:val="00002CF2"/>
    <w:rsid w:val="00002E47"/>
    <w:rsid w:val="000035FD"/>
    <w:rsid w:val="0000369F"/>
    <w:rsid w:val="000037DB"/>
    <w:rsid w:val="00003A81"/>
    <w:rsid w:val="00003CAA"/>
    <w:rsid w:val="00003D1F"/>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2B2"/>
    <w:rsid w:val="00014636"/>
    <w:rsid w:val="000146D8"/>
    <w:rsid w:val="00014897"/>
    <w:rsid w:val="00015049"/>
    <w:rsid w:val="000150ED"/>
    <w:rsid w:val="00015119"/>
    <w:rsid w:val="00015DD5"/>
    <w:rsid w:val="000161C4"/>
    <w:rsid w:val="0001654F"/>
    <w:rsid w:val="0001664E"/>
    <w:rsid w:val="00016AF9"/>
    <w:rsid w:val="00016BF1"/>
    <w:rsid w:val="00016E21"/>
    <w:rsid w:val="000172AC"/>
    <w:rsid w:val="00017345"/>
    <w:rsid w:val="00017386"/>
    <w:rsid w:val="0001742C"/>
    <w:rsid w:val="000177DE"/>
    <w:rsid w:val="00017AF5"/>
    <w:rsid w:val="00017FF8"/>
    <w:rsid w:val="000201F6"/>
    <w:rsid w:val="000204E1"/>
    <w:rsid w:val="000205C2"/>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7E8"/>
    <w:rsid w:val="000248BA"/>
    <w:rsid w:val="00024B95"/>
    <w:rsid w:val="00024EA7"/>
    <w:rsid w:val="00024F68"/>
    <w:rsid w:val="00025013"/>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126"/>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2E"/>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5C2"/>
    <w:rsid w:val="000437B3"/>
    <w:rsid w:val="00043828"/>
    <w:rsid w:val="00043894"/>
    <w:rsid w:val="00043A9B"/>
    <w:rsid w:val="00043BEB"/>
    <w:rsid w:val="00043C75"/>
    <w:rsid w:val="0004405F"/>
    <w:rsid w:val="0004414F"/>
    <w:rsid w:val="0004416B"/>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5F42"/>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67"/>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77F"/>
    <w:rsid w:val="00072903"/>
    <w:rsid w:val="00072A67"/>
    <w:rsid w:val="00073125"/>
    <w:rsid w:val="00073521"/>
    <w:rsid w:val="0007361B"/>
    <w:rsid w:val="000737AA"/>
    <w:rsid w:val="000738C4"/>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C7F"/>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4FB"/>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8"/>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7BA"/>
    <w:rsid w:val="000C2AE1"/>
    <w:rsid w:val="000C2CC3"/>
    <w:rsid w:val="000C2F13"/>
    <w:rsid w:val="000C3539"/>
    <w:rsid w:val="000C36BB"/>
    <w:rsid w:val="000C3926"/>
    <w:rsid w:val="000C3D36"/>
    <w:rsid w:val="000C3E59"/>
    <w:rsid w:val="000C3F3D"/>
    <w:rsid w:val="000C4012"/>
    <w:rsid w:val="000C4048"/>
    <w:rsid w:val="000C41ED"/>
    <w:rsid w:val="000C428D"/>
    <w:rsid w:val="000C4530"/>
    <w:rsid w:val="000C458E"/>
    <w:rsid w:val="000C4639"/>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B26"/>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4CF"/>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7D1"/>
    <w:rsid w:val="00121AC4"/>
    <w:rsid w:val="00121CB0"/>
    <w:rsid w:val="00121E62"/>
    <w:rsid w:val="0012201A"/>
    <w:rsid w:val="001225AC"/>
    <w:rsid w:val="00122A46"/>
    <w:rsid w:val="00122E50"/>
    <w:rsid w:val="00122FFD"/>
    <w:rsid w:val="00123627"/>
    <w:rsid w:val="00123A88"/>
    <w:rsid w:val="00123BEA"/>
    <w:rsid w:val="00123F62"/>
    <w:rsid w:val="001240AA"/>
    <w:rsid w:val="0012411A"/>
    <w:rsid w:val="00124B2F"/>
    <w:rsid w:val="00124BD3"/>
    <w:rsid w:val="00124BFA"/>
    <w:rsid w:val="00124C31"/>
    <w:rsid w:val="00124CB2"/>
    <w:rsid w:val="00124DC5"/>
    <w:rsid w:val="00124E00"/>
    <w:rsid w:val="00124F20"/>
    <w:rsid w:val="001252B7"/>
    <w:rsid w:val="001252EE"/>
    <w:rsid w:val="00125462"/>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2F"/>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8F0"/>
    <w:rsid w:val="00145C50"/>
    <w:rsid w:val="00145D43"/>
    <w:rsid w:val="00146099"/>
    <w:rsid w:val="001464A7"/>
    <w:rsid w:val="00147155"/>
    <w:rsid w:val="00147840"/>
    <w:rsid w:val="00147B44"/>
    <w:rsid w:val="00147DFB"/>
    <w:rsid w:val="00147E07"/>
    <w:rsid w:val="0015073F"/>
    <w:rsid w:val="001507BD"/>
    <w:rsid w:val="00150B0A"/>
    <w:rsid w:val="00150C85"/>
    <w:rsid w:val="00150D27"/>
    <w:rsid w:val="001511BB"/>
    <w:rsid w:val="0015130A"/>
    <w:rsid w:val="0015137E"/>
    <w:rsid w:val="00151579"/>
    <w:rsid w:val="0015159D"/>
    <w:rsid w:val="001516A0"/>
    <w:rsid w:val="00151A95"/>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BF0"/>
    <w:rsid w:val="00160EFA"/>
    <w:rsid w:val="00161255"/>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48C"/>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9C3"/>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40C"/>
    <w:rsid w:val="00190918"/>
    <w:rsid w:val="00190946"/>
    <w:rsid w:val="0019094C"/>
    <w:rsid w:val="00190CD8"/>
    <w:rsid w:val="0019138D"/>
    <w:rsid w:val="0019141E"/>
    <w:rsid w:val="001914D3"/>
    <w:rsid w:val="00191560"/>
    <w:rsid w:val="00191CE4"/>
    <w:rsid w:val="001922C1"/>
    <w:rsid w:val="0019252C"/>
    <w:rsid w:val="00192589"/>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3E07"/>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64"/>
    <w:rsid w:val="001B53D9"/>
    <w:rsid w:val="001B5580"/>
    <w:rsid w:val="001B5732"/>
    <w:rsid w:val="001B5B9A"/>
    <w:rsid w:val="001B63EA"/>
    <w:rsid w:val="001B6712"/>
    <w:rsid w:val="001B689D"/>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ABD"/>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088"/>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C19"/>
    <w:rsid w:val="001E3D57"/>
    <w:rsid w:val="001E3EB6"/>
    <w:rsid w:val="001E41F3"/>
    <w:rsid w:val="001E4852"/>
    <w:rsid w:val="001E4D74"/>
    <w:rsid w:val="001E50A6"/>
    <w:rsid w:val="001E52BD"/>
    <w:rsid w:val="001E531D"/>
    <w:rsid w:val="001E531E"/>
    <w:rsid w:val="001E5378"/>
    <w:rsid w:val="001E5D03"/>
    <w:rsid w:val="001E5FEE"/>
    <w:rsid w:val="001E6149"/>
    <w:rsid w:val="001E615B"/>
    <w:rsid w:val="001E6929"/>
    <w:rsid w:val="001E6AA2"/>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D9C"/>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138"/>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0FC"/>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3EB"/>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E73"/>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C62"/>
    <w:rsid w:val="00226D0E"/>
    <w:rsid w:val="00227423"/>
    <w:rsid w:val="00227664"/>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47"/>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A8C"/>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09E"/>
    <w:rsid w:val="00247195"/>
    <w:rsid w:val="0024752D"/>
    <w:rsid w:val="002476FD"/>
    <w:rsid w:val="00247977"/>
    <w:rsid w:val="00247A04"/>
    <w:rsid w:val="00247CD9"/>
    <w:rsid w:val="00247DFD"/>
    <w:rsid w:val="00250011"/>
    <w:rsid w:val="00250183"/>
    <w:rsid w:val="002501AF"/>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05B"/>
    <w:rsid w:val="002574CB"/>
    <w:rsid w:val="00257586"/>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334"/>
    <w:rsid w:val="0027366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D2"/>
    <w:rsid w:val="00276DF6"/>
    <w:rsid w:val="00277155"/>
    <w:rsid w:val="002771C3"/>
    <w:rsid w:val="002773BB"/>
    <w:rsid w:val="0027749B"/>
    <w:rsid w:val="00277808"/>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20"/>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63B"/>
    <w:rsid w:val="00287B5C"/>
    <w:rsid w:val="00287BC4"/>
    <w:rsid w:val="0029042D"/>
    <w:rsid w:val="00290660"/>
    <w:rsid w:val="0029074E"/>
    <w:rsid w:val="0029084F"/>
    <w:rsid w:val="00290A7B"/>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A31"/>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543"/>
    <w:rsid w:val="002B384A"/>
    <w:rsid w:val="002B3BBF"/>
    <w:rsid w:val="002B444A"/>
    <w:rsid w:val="002B4556"/>
    <w:rsid w:val="002B530A"/>
    <w:rsid w:val="002B5385"/>
    <w:rsid w:val="002B5A08"/>
    <w:rsid w:val="002B61A5"/>
    <w:rsid w:val="002B62D4"/>
    <w:rsid w:val="002B6394"/>
    <w:rsid w:val="002B6755"/>
    <w:rsid w:val="002B7008"/>
    <w:rsid w:val="002B7105"/>
    <w:rsid w:val="002B7318"/>
    <w:rsid w:val="002B76F6"/>
    <w:rsid w:val="002B7921"/>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39E"/>
    <w:rsid w:val="002C2658"/>
    <w:rsid w:val="002C28F5"/>
    <w:rsid w:val="002C2E0D"/>
    <w:rsid w:val="002C3025"/>
    <w:rsid w:val="002C31E8"/>
    <w:rsid w:val="002C3432"/>
    <w:rsid w:val="002C3700"/>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38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05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E1D"/>
    <w:rsid w:val="002F5EB0"/>
    <w:rsid w:val="002F603C"/>
    <w:rsid w:val="002F68B6"/>
    <w:rsid w:val="002F6DAC"/>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B90"/>
    <w:rsid w:val="00304EC2"/>
    <w:rsid w:val="0030502C"/>
    <w:rsid w:val="0030562C"/>
    <w:rsid w:val="00305958"/>
    <w:rsid w:val="00305A7A"/>
    <w:rsid w:val="00305BD8"/>
    <w:rsid w:val="00305C38"/>
    <w:rsid w:val="00305EC1"/>
    <w:rsid w:val="00306265"/>
    <w:rsid w:val="00306296"/>
    <w:rsid w:val="0030638D"/>
    <w:rsid w:val="0030672E"/>
    <w:rsid w:val="00306C98"/>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3EF"/>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2F5B"/>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D78"/>
    <w:rsid w:val="0033417D"/>
    <w:rsid w:val="00335006"/>
    <w:rsid w:val="00335158"/>
    <w:rsid w:val="0033518F"/>
    <w:rsid w:val="003353F7"/>
    <w:rsid w:val="00335458"/>
    <w:rsid w:val="00335545"/>
    <w:rsid w:val="00335556"/>
    <w:rsid w:val="00335B8B"/>
    <w:rsid w:val="00335E4E"/>
    <w:rsid w:val="00335F18"/>
    <w:rsid w:val="00336258"/>
    <w:rsid w:val="00336336"/>
    <w:rsid w:val="0033644C"/>
    <w:rsid w:val="00336482"/>
    <w:rsid w:val="00336BE9"/>
    <w:rsid w:val="00336EE5"/>
    <w:rsid w:val="00336FF5"/>
    <w:rsid w:val="00337861"/>
    <w:rsid w:val="00337C65"/>
    <w:rsid w:val="00337C89"/>
    <w:rsid w:val="00340072"/>
    <w:rsid w:val="00340823"/>
    <w:rsid w:val="00340B71"/>
    <w:rsid w:val="00340D29"/>
    <w:rsid w:val="00340EF3"/>
    <w:rsid w:val="0034157E"/>
    <w:rsid w:val="00341C7A"/>
    <w:rsid w:val="00341D89"/>
    <w:rsid w:val="003421EF"/>
    <w:rsid w:val="00342498"/>
    <w:rsid w:val="003424AE"/>
    <w:rsid w:val="00342537"/>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396"/>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B3E"/>
    <w:rsid w:val="00365C5D"/>
    <w:rsid w:val="003664E7"/>
    <w:rsid w:val="00366565"/>
    <w:rsid w:val="003665E2"/>
    <w:rsid w:val="00366CCE"/>
    <w:rsid w:val="00366E23"/>
    <w:rsid w:val="00367035"/>
    <w:rsid w:val="00367DAF"/>
    <w:rsid w:val="00367F78"/>
    <w:rsid w:val="00370024"/>
    <w:rsid w:val="00370034"/>
    <w:rsid w:val="00370051"/>
    <w:rsid w:val="0037048B"/>
    <w:rsid w:val="00370559"/>
    <w:rsid w:val="00370A3E"/>
    <w:rsid w:val="00370C04"/>
    <w:rsid w:val="00370CBD"/>
    <w:rsid w:val="00370D3B"/>
    <w:rsid w:val="00371184"/>
    <w:rsid w:val="003711D7"/>
    <w:rsid w:val="00371383"/>
    <w:rsid w:val="00371A2A"/>
    <w:rsid w:val="00371C10"/>
    <w:rsid w:val="00372067"/>
    <w:rsid w:val="00372465"/>
    <w:rsid w:val="00372704"/>
    <w:rsid w:val="00372AC5"/>
    <w:rsid w:val="00372D92"/>
    <w:rsid w:val="0037333D"/>
    <w:rsid w:val="00373359"/>
    <w:rsid w:val="0037360E"/>
    <w:rsid w:val="0037380F"/>
    <w:rsid w:val="003739DD"/>
    <w:rsid w:val="00373FE4"/>
    <w:rsid w:val="003742BF"/>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606"/>
    <w:rsid w:val="0038371A"/>
    <w:rsid w:val="0038373F"/>
    <w:rsid w:val="00383AC0"/>
    <w:rsid w:val="00384540"/>
    <w:rsid w:val="00384621"/>
    <w:rsid w:val="0038469A"/>
    <w:rsid w:val="0038479F"/>
    <w:rsid w:val="003849DF"/>
    <w:rsid w:val="00384B43"/>
    <w:rsid w:val="00384BA6"/>
    <w:rsid w:val="00384F07"/>
    <w:rsid w:val="00384F0E"/>
    <w:rsid w:val="003855E3"/>
    <w:rsid w:val="0038594A"/>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B2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F4B"/>
    <w:rsid w:val="003A2F62"/>
    <w:rsid w:val="003A3F7E"/>
    <w:rsid w:val="003A42D7"/>
    <w:rsid w:val="003A4499"/>
    <w:rsid w:val="003A4615"/>
    <w:rsid w:val="003A4911"/>
    <w:rsid w:val="003A5273"/>
    <w:rsid w:val="003A52E7"/>
    <w:rsid w:val="003A5E25"/>
    <w:rsid w:val="003A5F01"/>
    <w:rsid w:val="003A6731"/>
    <w:rsid w:val="003A6784"/>
    <w:rsid w:val="003A73CD"/>
    <w:rsid w:val="003A7821"/>
    <w:rsid w:val="003A7B0E"/>
    <w:rsid w:val="003B015B"/>
    <w:rsid w:val="003B02A8"/>
    <w:rsid w:val="003B04D7"/>
    <w:rsid w:val="003B0572"/>
    <w:rsid w:val="003B057C"/>
    <w:rsid w:val="003B0685"/>
    <w:rsid w:val="003B06F7"/>
    <w:rsid w:val="003B08A2"/>
    <w:rsid w:val="003B0BF4"/>
    <w:rsid w:val="003B0EF5"/>
    <w:rsid w:val="003B0FFA"/>
    <w:rsid w:val="003B11AD"/>
    <w:rsid w:val="003B13A8"/>
    <w:rsid w:val="003B1948"/>
    <w:rsid w:val="003B207F"/>
    <w:rsid w:val="003B2A96"/>
    <w:rsid w:val="003B2F59"/>
    <w:rsid w:val="003B3422"/>
    <w:rsid w:val="003B34FE"/>
    <w:rsid w:val="003B36D4"/>
    <w:rsid w:val="003B3801"/>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5A3"/>
    <w:rsid w:val="003B6641"/>
    <w:rsid w:val="003B6792"/>
    <w:rsid w:val="003B6822"/>
    <w:rsid w:val="003B6CC5"/>
    <w:rsid w:val="003B6E45"/>
    <w:rsid w:val="003B7236"/>
    <w:rsid w:val="003B7287"/>
    <w:rsid w:val="003B7931"/>
    <w:rsid w:val="003B796F"/>
    <w:rsid w:val="003B7997"/>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4E5"/>
    <w:rsid w:val="003C45CF"/>
    <w:rsid w:val="003C4609"/>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274"/>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33B"/>
    <w:rsid w:val="003D6592"/>
    <w:rsid w:val="003D666F"/>
    <w:rsid w:val="003D68A8"/>
    <w:rsid w:val="003D69FB"/>
    <w:rsid w:val="003D6F14"/>
    <w:rsid w:val="003D7240"/>
    <w:rsid w:val="003D7FE1"/>
    <w:rsid w:val="003E00A9"/>
    <w:rsid w:val="003E0645"/>
    <w:rsid w:val="003E068E"/>
    <w:rsid w:val="003E0743"/>
    <w:rsid w:val="003E0864"/>
    <w:rsid w:val="003E0A13"/>
    <w:rsid w:val="003E0DD1"/>
    <w:rsid w:val="003E1602"/>
    <w:rsid w:val="003E18A6"/>
    <w:rsid w:val="003E18DD"/>
    <w:rsid w:val="003E1A36"/>
    <w:rsid w:val="003E1C8C"/>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14F"/>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82B"/>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67"/>
    <w:rsid w:val="004132A8"/>
    <w:rsid w:val="0041340E"/>
    <w:rsid w:val="0041376E"/>
    <w:rsid w:val="00413773"/>
    <w:rsid w:val="004137CD"/>
    <w:rsid w:val="00413BB0"/>
    <w:rsid w:val="00413EF8"/>
    <w:rsid w:val="00414475"/>
    <w:rsid w:val="004150C4"/>
    <w:rsid w:val="004151E6"/>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890"/>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3C"/>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4AF"/>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575"/>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25"/>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BA5"/>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798"/>
    <w:rsid w:val="0047483C"/>
    <w:rsid w:val="00474909"/>
    <w:rsid w:val="00474925"/>
    <w:rsid w:val="00474C8C"/>
    <w:rsid w:val="00474EDD"/>
    <w:rsid w:val="004752B8"/>
    <w:rsid w:val="00475923"/>
    <w:rsid w:val="00475AC5"/>
    <w:rsid w:val="00475FA8"/>
    <w:rsid w:val="00476108"/>
    <w:rsid w:val="0047649C"/>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07"/>
    <w:rsid w:val="00494CAC"/>
    <w:rsid w:val="0049509D"/>
    <w:rsid w:val="004954FE"/>
    <w:rsid w:val="004957F2"/>
    <w:rsid w:val="0049586B"/>
    <w:rsid w:val="00495D53"/>
    <w:rsid w:val="00495F21"/>
    <w:rsid w:val="00495F5A"/>
    <w:rsid w:val="00496044"/>
    <w:rsid w:val="004968D0"/>
    <w:rsid w:val="00496CD1"/>
    <w:rsid w:val="00496F61"/>
    <w:rsid w:val="004971D8"/>
    <w:rsid w:val="00497350"/>
    <w:rsid w:val="00497481"/>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2E1C"/>
    <w:rsid w:val="004B304A"/>
    <w:rsid w:val="004B39C1"/>
    <w:rsid w:val="004B3A40"/>
    <w:rsid w:val="004B3B60"/>
    <w:rsid w:val="004B41DF"/>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091"/>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DB1"/>
    <w:rsid w:val="004C5E6B"/>
    <w:rsid w:val="004C646C"/>
    <w:rsid w:val="004C6517"/>
    <w:rsid w:val="004C67BB"/>
    <w:rsid w:val="004C6B13"/>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ECA"/>
    <w:rsid w:val="004D2F62"/>
    <w:rsid w:val="004D3406"/>
    <w:rsid w:val="004D3B5C"/>
    <w:rsid w:val="004D3F94"/>
    <w:rsid w:val="004D408A"/>
    <w:rsid w:val="004D44BD"/>
    <w:rsid w:val="004D482C"/>
    <w:rsid w:val="004D4BFE"/>
    <w:rsid w:val="004D4DB9"/>
    <w:rsid w:val="004D52EB"/>
    <w:rsid w:val="004D58B5"/>
    <w:rsid w:val="004D5948"/>
    <w:rsid w:val="004D5A11"/>
    <w:rsid w:val="004D5CBA"/>
    <w:rsid w:val="004D5E2E"/>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C79"/>
    <w:rsid w:val="004F7D32"/>
    <w:rsid w:val="004F7EAB"/>
    <w:rsid w:val="0050008A"/>
    <w:rsid w:val="005004AF"/>
    <w:rsid w:val="005009DD"/>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247"/>
    <w:rsid w:val="00513848"/>
    <w:rsid w:val="00514AC1"/>
    <w:rsid w:val="00514BAD"/>
    <w:rsid w:val="00514D04"/>
    <w:rsid w:val="00514DA9"/>
    <w:rsid w:val="0051530D"/>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33"/>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839"/>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D09"/>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3DD"/>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433"/>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6EB"/>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D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45B"/>
    <w:rsid w:val="005865C8"/>
    <w:rsid w:val="0058673A"/>
    <w:rsid w:val="00586A61"/>
    <w:rsid w:val="00586AB2"/>
    <w:rsid w:val="00586F16"/>
    <w:rsid w:val="00586FA5"/>
    <w:rsid w:val="00587004"/>
    <w:rsid w:val="00587078"/>
    <w:rsid w:val="005875EC"/>
    <w:rsid w:val="005878A4"/>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397"/>
    <w:rsid w:val="005A760A"/>
    <w:rsid w:val="005A793D"/>
    <w:rsid w:val="005A7A18"/>
    <w:rsid w:val="005A7DE9"/>
    <w:rsid w:val="005A7F01"/>
    <w:rsid w:val="005B029E"/>
    <w:rsid w:val="005B02D6"/>
    <w:rsid w:val="005B05B2"/>
    <w:rsid w:val="005B06A6"/>
    <w:rsid w:val="005B0BBE"/>
    <w:rsid w:val="005B0D44"/>
    <w:rsid w:val="005B1194"/>
    <w:rsid w:val="005B16C8"/>
    <w:rsid w:val="005B1ABA"/>
    <w:rsid w:val="005B2308"/>
    <w:rsid w:val="005B276A"/>
    <w:rsid w:val="005B29BE"/>
    <w:rsid w:val="005B2B0C"/>
    <w:rsid w:val="005B2F9E"/>
    <w:rsid w:val="005B329A"/>
    <w:rsid w:val="005B32C6"/>
    <w:rsid w:val="005B36B7"/>
    <w:rsid w:val="005B3EA0"/>
    <w:rsid w:val="005B4040"/>
    <w:rsid w:val="005B42C2"/>
    <w:rsid w:val="005B4600"/>
    <w:rsid w:val="005B4C3A"/>
    <w:rsid w:val="005B4F67"/>
    <w:rsid w:val="005B4FC4"/>
    <w:rsid w:val="005B521E"/>
    <w:rsid w:val="005B52AC"/>
    <w:rsid w:val="005B54C1"/>
    <w:rsid w:val="005B5681"/>
    <w:rsid w:val="005B5734"/>
    <w:rsid w:val="005B5AA5"/>
    <w:rsid w:val="005B5B51"/>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71E"/>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3E3"/>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64E"/>
    <w:rsid w:val="005D78A0"/>
    <w:rsid w:val="005D7ED8"/>
    <w:rsid w:val="005E0014"/>
    <w:rsid w:val="005E0393"/>
    <w:rsid w:val="005E052E"/>
    <w:rsid w:val="005E0701"/>
    <w:rsid w:val="005E07FA"/>
    <w:rsid w:val="005E145D"/>
    <w:rsid w:val="005E1637"/>
    <w:rsid w:val="005E1A81"/>
    <w:rsid w:val="005E1CF5"/>
    <w:rsid w:val="005E1D9D"/>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5C36"/>
    <w:rsid w:val="005E6205"/>
    <w:rsid w:val="005E6D67"/>
    <w:rsid w:val="005E7AB9"/>
    <w:rsid w:val="005E7B34"/>
    <w:rsid w:val="005E7D7F"/>
    <w:rsid w:val="005E7E00"/>
    <w:rsid w:val="005F0131"/>
    <w:rsid w:val="005F018D"/>
    <w:rsid w:val="005F0635"/>
    <w:rsid w:val="005F0C21"/>
    <w:rsid w:val="005F1A0B"/>
    <w:rsid w:val="005F1AC9"/>
    <w:rsid w:val="005F1B94"/>
    <w:rsid w:val="005F1C7E"/>
    <w:rsid w:val="005F28AB"/>
    <w:rsid w:val="005F2C35"/>
    <w:rsid w:val="005F2C56"/>
    <w:rsid w:val="005F2CFB"/>
    <w:rsid w:val="005F2D6A"/>
    <w:rsid w:val="005F30C0"/>
    <w:rsid w:val="005F3257"/>
    <w:rsid w:val="005F34A1"/>
    <w:rsid w:val="005F3C52"/>
    <w:rsid w:val="005F3D26"/>
    <w:rsid w:val="005F3DDE"/>
    <w:rsid w:val="005F43A7"/>
    <w:rsid w:val="005F457D"/>
    <w:rsid w:val="005F4D96"/>
    <w:rsid w:val="005F4F40"/>
    <w:rsid w:val="005F5472"/>
    <w:rsid w:val="005F54DC"/>
    <w:rsid w:val="005F5573"/>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3F68"/>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801"/>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84C"/>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DB1"/>
    <w:rsid w:val="00622FD8"/>
    <w:rsid w:val="00623438"/>
    <w:rsid w:val="00623649"/>
    <w:rsid w:val="006236DE"/>
    <w:rsid w:val="00623AD2"/>
    <w:rsid w:val="00623B75"/>
    <w:rsid w:val="00623CEB"/>
    <w:rsid w:val="00624487"/>
    <w:rsid w:val="006244FB"/>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4F"/>
    <w:rsid w:val="00645B63"/>
    <w:rsid w:val="00645D44"/>
    <w:rsid w:val="00645EA8"/>
    <w:rsid w:val="006460DB"/>
    <w:rsid w:val="0064625E"/>
    <w:rsid w:val="00646941"/>
    <w:rsid w:val="00646CC0"/>
    <w:rsid w:val="00647076"/>
    <w:rsid w:val="006478D0"/>
    <w:rsid w:val="006479C0"/>
    <w:rsid w:val="00647F40"/>
    <w:rsid w:val="0065049E"/>
    <w:rsid w:val="0065078A"/>
    <w:rsid w:val="00650AEC"/>
    <w:rsid w:val="00650B21"/>
    <w:rsid w:val="00650C2C"/>
    <w:rsid w:val="00651067"/>
    <w:rsid w:val="00651155"/>
    <w:rsid w:val="0065127B"/>
    <w:rsid w:val="006513B6"/>
    <w:rsid w:val="006513F8"/>
    <w:rsid w:val="00651945"/>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90B"/>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214"/>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62"/>
    <w:rsid w:val="006835A7"/>
    <w:rsid w:val="00683B93"/>
    <w:rsid w:val="00683CEC"/>
    <w:rsid w:val="00683D48"/>
    <w:rsid w:val="00683E25"/>
    <w:rsid w:val="006840F5"/>
    <w:rsid w:val="0068485F"/>
    <w:rsid w:val="00684D05"/>
    <w:rsid w:val="00684EAD"/>
    <w:rsid w:val="00685AEB"/>
    <w:rsid w:val="00686564"/>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6F34"/>
    <w:rsid w:val="00696FEF"/>
    <w:rsid w:val="00697109"/>
    <w:rsid w:val="006972F9"/>
    <w:rsid w:val="006973DE"/>
    <w:rsid w:val="006975C2"/>
    <w:rsid w:val="006976E2"/>
    <w:rsid w:val="00697709"/>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8DC"/>
    <w:rsid w:val="006B091C"/>
    <w:rsid w:val="006B0C10"/>
    <w:rsid w:val="006B0D95"/>
    <w:rsid w:val="006B119E"/>
    <w:rsid w:val="006B14BC"/>
    <w:rsid w:val="006B1808"/>
    <w:rsid w:val="006B19CF"/>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58F"/>
    <w:rsid w:val="006C689B"/>
    <w:rsid w:val="006C6A74"/>
    <w:rsid w:val="006C7B41"/>
    <w:rsid w:val="006C7C56"/>
    <w:rsid w:val="006D09CC"/>
    <w:rsid w:val="006D0B28"/>
    <w:rsid w:val="006D0B42"/>
    <w:rsid w:val="006D0C42"/>
    <w:rsid w:val="006D1344"/>
    <w:rsid w:val="006D1349"/>
    <w:rsid w:val="006D148D"/>
    <w:rsid w:val="006D14EF"/>
    <w:rsid w:val="006D1684"/>
    <w:rsid w:val="006D20D0"/>
    <w:rsid w:val="006D22E5"/>
    <w:rsid w:val="006D2620"/>
    <w:rsid w:val="006D2938"/>
    <w:rsid w:val="006D2AA7"/>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CA0"/>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6C5"/>
    <w:rsid w:val="006E3859"/>
    <w:rsid w:val="006E38EF"/>
    <w:rsid w:val="006E3ACF"/>
    <w:rsid w:val="006E3C5D"/>
    <w:rsid w:val="006E4602"/>
    <w:rsid w:val="006E49D3"/>
    <w:rsid w:val="006E4AB2"/>
    <w:rsid w:val="006E4DD8"/>
    <w:rsid w:val="006E4E57"/>
    <w:rsid w:val="006E51F0"/>
    <w:rsid w:val="006E5321"/>
    <w:rsid w:val="006E554F"/>
    <w:rsid w:val="006E55A3"/>
    <w:rsid w:val="006E567B"/>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49B9"/>
    <w:rsid w:val="006F54A7"/>
    <w:rsid w:val="006F5510"/>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64"/>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183"/>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BC1"/>
    <w:rsid w:val="00712C22"/>
    <w:rsid w:val="00712CA7"/>
    <w:rsid w:val="00713694"/>
    <w:rsid w:val="00713C34"/>
    <w:rsid w:val="00713F93"/>
    <w:rsid w:val="0071478E"/>
    <w:rsid w:val="007148BB"/>
    <w:rsid w:val="00714904"/>
    <w:rsid w:val="007149B9"/>
    <w:rsid w:val="00714B60"/>
    <w:rsid w:val="00714BD1"/>
    <w:rsid w:val="00714E05"/>
    <w:rsid w:val="00715143"/>
    <w:rsid w:val="00715292"/>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40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6EEC"/>
    <w:rsid w:val="0073745C"/>
    <w:rsid w:val="00737AA1"/>
    <w:rsid w:val="0074065A"/>
    <w:rsid w:val="007406D3"/>
    <w:rsid w:val="007407D8"/>
    <w:rsid w:val="00741042"/>
    <w:rsid w:val="00741121"/>
    <w:rsid w:val="00741202"/>
    <w:rsid w:val="00741235"/>
    <w:rsid w:val="00741289"/>
    <w:rsid w:val="00741470"/>
    <w:rsid w:val="0074173B"/>
    <w:rsid w:val="00741B08"/>
    <w:rsid w:val="00741B13"/>
    <w:rsid w:val="00741FA1"/>
    <w:rsid w:val="00742291"/>
    <w:rsid w:val="00742388"/>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6C8C"/>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0B"/>
    <w:rsid w:val="00760F48"/>
    <w:rsid w:val="00760FFC"/>
    <w:rsid w:val="00761010"/>
    <w:rsid w:val="0076188D"/>
    <w:rsid w:val="00761A84"/>
    <w:rsid w:val="00761AF5"/>
    <w:rsid w:val="00761E12"/>
    <w:rsid w:val="00761EB2"/>
    <w:rsid w:val="0076263F"/>
    <w:rsid w:val="00762685"/>
    <w:rsid w:val="007626D8"/>
    <w:rsid w:val="0076272F"/>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4F7D"/>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198"/>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5E8"/>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442"/>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18C"/>
    <w:rsid w:val="007B6500"/>
    <w:rsid w:val="007B65D6"/>
    <w:rsid w:val="007B6E3C"/>
    <w:rsid w:val="007B7763"/>
    <w:rsid w:val="007B7C09"/>
    <w:rsid w:val="007B7C15"/>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8C6"/>
    <w:rsid w:val="007C292D"/>
    <w:rsid w:val="007C2AA4"/>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D69"/>
    <w:rsid w:val="007C7E56"/>
    <w:rsid w:val="007D0C89"/>
    <w:rsid w:val="007D0EAC"/>
    <w:rsid w:val="007D114A"/>
    <w:rsid w:val="007D1221"/>
    <w:rsid w:val="007D19F7"/>
    <w:rsid w:val="007D1A56"/>
    <w:rsid w:val="007D2178"/>
    <w:rsid w:val="007D21EF"/>
    <w:rsid w:val="007D2270"/>
    <w:rsid w:val="007D22E6"/>
    <w:rsid w:val="007D2C8D"/>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67A0"/>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7A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27EC1"/>
    <w:rsid w:val="008300C2"/>
    <w:rsid w:val="008305CC"/>
    <w:rsid w:val="008309CD"/>
    <w:rsid w:val="00830B46"/>
    <w:rsid w:val="00831267"/>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2F9"/>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71E"/>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09CF"/>
    <w:rsid w:val="008512D0"/>
    <w:rsid w:val="0085146A"/>
    <w:rsid w:val="00851551"/>
    <w:rsid w:val="0085182F"/>
    <w:rsid w:val="00851A41"/>
    <w:rsid w:val="00851B2F"/>
    <w:rsid w:val="00851D0B"/>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852"/>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032"/>
    <w:rsid w:val="00875352"/>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37F"/>
    <w:rsid w:val="00880549"/>
    <w:rsid w:val="008807AE"/>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B93"/>
    <w:rsid w:val="00896C69"/>
    <w:rsid w:val="00897527"/>
    <w:rsid w:val="00897728"/>
    <w:rsid w:val="00897835"/>
    <w:rsid w:val="00897925"/>
    <w:rsid w:val="00897A8F"/>
    <w:rsid w:val="00897F11"/>
    <w:rsid w:val="008A0233"/>
    <w:rsid w:val="008A0299"/>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ABB"/>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30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27C"/>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E09"/>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AC"/>
    <w:rsid w:val="008F10F4"/>
    <w:rsid w:val="008F129C"/>
    <w:rsid w:val="008F156F"/>
    <w:rsid w:val="008F16FE"/>
    <w:rsid w:val="008F1820"/>
    <w:rsid w:val="008F1FA5"/>
    <w:rsid w:val="008F22D0"/>
    <w:rsid w:val="008F2EC6"/>
    <w:rsid w:val="008F33F8"/>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594"/>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744"/>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9D"/>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119"/>
    <w:rsid w:val="009346E4"/>
    <w:rsid w:val="009348B0"/>
    <w:rsid w:val="009348CB"/>
    <w:rsid w:val="00934DC6"/>
    <w:rsid w:val="00935162"/>
    <w:rsid w:val="009355F9"/>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1B4"/>
    <w:rsid w:val="00941743"/>
    <w:rsid w:val="009419A8"/>
    <w:rsid w:val="00941D34"/>
    <w:rsid w:val="00941E23"/>
    <w:rsid w:val="00941E24"/>
    <w:rsid w:val="0094231A"/>
    <w:rsid w:val="0094256A"/>
    <w:rsid w:val="00942C98"/>
    <w:rsid w:val="00943025"/>
    <w:rsid w:val="00943161"/>
    <w:rsid w:val="009433FD"/>
    <w:rsid w:val="0094377B"/>
    <w:rsid w:val="00943883"/>
    <w:rsid w:val="00943A9D"/>
    <w:rsid w:val="009441F4"/>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47C"/>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57F92"/>
    <w:rsid w:val="009600BA"/>
    <w:rsid w:val="009603B7"/>
    <w:rsid w:val="00960644"/>
    <w:rsid w:val="009608FA"/>
    <w:rsid w:val="00960BCC"/>
    <w:rsid w:val="00960FED"/>
    <w:rsid w:val="00961287"/>
    <w:rsid w:val="00961354"/>
    <w:rsid w:val="0096154F"/>
    <w:rsid w:val="009615D7"/>
    <w:rsid w:val="00961604"/>
    <w:rsid w:val="00961655"/>
    <w:rsid w:val="00961981"/>
    <w:rsid w:val="00961BAA"/>
    <w:rsid w:val="00961F05"/>
    <w:rsid w:val="00962248"/>
    <w:rsid w:val="00962870"/>
    <w:rsid w:val="00962D23"/>
    <w:rsid w:val="00962D34"/>
    <w:rsid w:val="00963309"/>
    <w:rsid w:val="009633EE"/>
    <w:rsid w:val="0096355E"/>
    <w:rsid w:val="009639FA"/>
    <w:rsid w:val="009643E8"/>
    <w:rsid w:val="009644E0"/>
    <w:rsid w:val="0096467A"/>
    <w:rsid w:val="00964706"/>
    <w:rsid w:val="0096486C"/>
    <w:rsid w:val="009648DB"/>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9EE"/>
    <w:rsid w:val="00976E09"/>
    <w:rsid w:val="00976FFC"/>
    <w:rsid w:val="00977760"/>
    <w:rsid w:val="009777D9"/>
    <w:rsid w:val="00977E9C"/>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386"/>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1CC"/>
    <w:rsid w:val="009B3561"/>
    <w:rsid w:val="009B3646"/>
    <w:rsid w:val="009B4053"/>
    <w:rsid w:val="009B426D"/>
    <w:rsid w:val="009B4435"/>
    <w:rsid w:val="009B4AC9"/>
    <w:rsid w:val="009B5171"/>
    <w:rsid w:val="009B527E"/>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B6"/>
    <w:rsid w:val="009C06CE"/>
    <w:rsid w:val="009C07C4"/>
    <w:rsid w:val="009C0FD7"/>
    <w:rsid w:val="009C1755"/>
    <w:rsid w:val="009C17CC"/>
    <w:rsid w:val="009C18C4"/>
    <w:rsid w:val="009C1D14"/>
    <w:rsid w:val="009C200C"/>
    <w:rsid w:val="009C212A"/>
    <w:rsid w:val="009C22F9"/>
    <w:rsid w:val="009C23EE"/>
    <w:rsid w:val="009C2420"/>
    <w:rsid w:val="009C2631"/>
    <w:rsid w:val="009C2B05"/>
    <w:rsid w:val="009C2D07"/>
    <w:rsid w:val="009C2DC1"/>
    <w:rsid w:val="009C3035"/>
    <w:rsid w:val="009C3421"/>
    <w:rsid w:val="009C35C5"/>
    <w:rsid w:val="009C36C9"/>
    <w:rsid w:val="009C3A3C"/>
    <w:rsid w:val="009C3B1D"/>
    <w:rsid w:val="009C3E72"/>
    <w:rsid w:val="009C3E76"/>
    <w:rsid w:val="009C414D"/>
    <w:rsid w:val="009C443D"/>
    <w:rsid w:val="009C445C"/>
    <w:rsid w:val="009C45BA"/>
    <w:rsid w:val="009C46C4"/>
    <w:rsid w:val="009C477A"/>
    <w:rsid w:val="009C4884"/>
    <w:rsid w:val="009C4889"/>
    <w:rsid w:val="009C4ECF"/>
    <w:rsid w:val="009C4F71"/>
    <w:rsid w:val="009C5DBF"/>
    <w:rsid w:val="009C60F0"/>
    <w:rsid w:val="009C626C"/>
    <w:rsid w:val="009C62DE"/>
    <w:rsid w:val="009C6332"/>
    <w:rsid w:val="009C6726"/>
    <w:rsid w:val="009C6BD7"/>
    <w:rsid w:val="009C6DA0"/>
    <w:rsid w:val="009C7080"/>
    <w:rsid w:val="009C7221"/>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955"/>
    <w:rsid w:val="009E0BB8"/>
    <w:rsid w:val="009E0D81"/>
    <w:rsid w:val="009E0E15"/>
    <w:rsid w:val="009E15FB"/>
    <w:rsid w:val="009E16CC"/>
    <w:rsid w:val="009E174E"/>
    <w:rsid w:val="009E19AB"/>
    <w:rsid w:val="009E1ED0"/>
    <w:rsid w:val="009E21E3"/>
    <w:rsid w:val="009E22D6"/>
    <w:rsid w:val="009E2387"/>
    <w:rsid w:val="009E249D"/>
    <w:rsid w:val="009E29F0"/>
    <w:rsid w:val="009E2FA9"/>
    <w:rsid w:val="009E3297"/>
    <w:rsid w:val="009E3644"/>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3FA"/>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1364"/>
    <w:rsid w:val="009F21E4"/>
    <w:rsid w:val="009F232E"/>
    <w:rsid w:val="009F2389"/>
    <w:rsid w:val="009F2447"/>
    <w:rsid w:val="009F29DE"/>
    <w:rsid w:val="009F342F"/>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E48"/>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ACB"/>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D48"/>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6DFA"/>
    <w:rsid w:val="00A36E1A"/>
    <w:rsid w:val="00A37003"/>
    <w:rsid w:val="00A37A46"/>
    <w:rsid w:val="00A400E6"/>
    <w:rsid w:val="00A40238"/>
    <w:rsid w:val="00A4039B"/>
    <w:rsid w:val="00A40842"/>
    <w:rsid w:val="00A40CCD"/>
    <w:rsid w:val="00A40D23"/>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ACA"/>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4F6"/>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8A3"/>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2EE2"/>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69B"/>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0F9"/>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C7C"/>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1"/>
    <w:rsid w:val="00AB5F88"/>
    <w:rsid w:val="00AB61A5"/>
    <w:rsid w:val="00AB620F"/>
    <w:rsid w:val="00AB6368"/>
    <w:rsid w:val="00AB692F"/>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92C"/>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D7F48"/>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3CE"/>
    <w:rsid w:val="00AE2477"/>
    <w:rsid w:val="00AE25E3"/>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99"/>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5F6"/>
    <w:rsid w:val="00AF4692"/>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1D9E"/>
    <w:rsid w:val="00B1282C"/>
    <w:rsid w:val="00B12B6C"/>
    <w:rsid w:val="00B12B7A"/>
    <w:rsid w:val="00B12E1E"/>
    <w:rsid w:val="00B12E4B"/>
    <w:rsid w:val="00B13046"/>
    <w:rsid w:val="00B139B7"/>
    <w:rsid w:val="00B13C83"/>
    <w:rsid w:val="00B14004"/>
    <w:rsid w:val="00B1416D"/>
    <w:rsid w:val="00B1468B"/>
    <w:rsid w:val="00B14A73"/>
    <w:rsid w:val="00B150DF"/>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C90"/>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901"/>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3E"/>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408"/>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6F62"/>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48E"/>
    <w:rsid w:val="00B63637"/>
    <w:rsid w:val="00B63762"/>
    <w:rsid w:val="00B63AC3"/>
    <w:rsid w:val="00B63E44"/>
    <w:rsid w:val="00B64005"/>
    <w:rsid w:val="00B647FC"/>
    <w:rsid w:val="00B6492D"/>
    <w:rsid w:val="00B64952"/>
    <w:rsid w:val="00B64B08"/>
    <w:rsid w:val="00B655B1"/>
    <w:rsid w:val="00B65982"/>
    <w:rsid w:val="00B66430"/>
    <w:rsid w:val="00B666CE"/>
    <w:rsid w:val="00B6683C"/>
    <w:rsid w:val="00B66EC2"/>
    <w:rsid w:val="00B6707F"/>
    <w:rsid w:val="00B670B1"/>
    <w:rsid w:val="00B67139"/>
    <w:rsid w:val="00B67161"/>
    <w:rsid w:val="00B671EC"/>
    <w:rsid w:val="00B67263"/>
    <w:rsid w:val="00B6731A"/>
    <w:rsid w:val="00B6740A"/>
    <w:rsid w:val="00B67606"/>
    <w:rsid w:val="00B67D83"/>
    <w:rsid w:val="00B67ED5"/>
    <w:rsid w:val="00B67EFD"/>
    <w:rsid w:val="00B70184"/>
    <w:rsid w:val="00B70566"/>
    <w:rsid w:val="00B707C4"/>
    <w:rsid w:val="00B70F91"/>
    <w:rsid w:val="00B7100B"/>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315"/>
    <w:rsid w:val="00B82501"/>
    <w:rsid w:val="00B82712"/>
    <w:rsid w:val="00B82C40"/>
    <w:rsid w:val="00B82E20"/>
    <w:rsid w:val="00B8306A"/>
    <w:rsid w:val="00B834E4"/>
    <w:rsid w:val="00B8365F"/>
    <w:rsid w:val="00B83C25"/>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2D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5EE0"/>
    <w:rsid w:val="00B96018"/>
    <w:rsid w:val="00B960E0"/>
    <w:rsid w:val="00B96141"/>
    <w:rsid w:val="00B96841"/>
    <w:rsid w:val="00B968C8"/>
    <w:rsid w:val="00B96B83"/>
    <w:rsid w:val="00B977CA"/>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73D"/>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153"/>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A01"/>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5DE9"/>
    <w:rsid w:val="00BD70E0"/>
    <w:rsid w:val="00BD75D7"/>
    <w:rsid w:val="00BD7606"/>
    <w:rsid w:val="00BD77AF"/>
    <w:rsid w:val="00BD7A7D"/>
    <w:rsid w:val="00BD7BCC"/>
    <w:rsid w:val="00BD7D45"/>
    <w:rsid w:val="00BD7E46"/>
    <w:rsid w:val="00BE001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4C86"/>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0E9"/>
    <w:rsid w:val="00BF53FC"/>
    <w:rsid w:val="00BF5666"/>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2EE"/>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D75"/>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0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769"/>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480"/>
    <w:rsid w:val="00C327E8"/>
    <w:rsid w:val="00C328A1"/>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5A5"/>
    <w:rsid w:val="00C376ED"/>
    <w:rsid w:val="00C37969"/>
    <w:rsid w:val="00C37E19"/>
    <w:rsid w:val="00C40093"/>
    <w:rsid w:val="00C401F3"/>
    <w:rsid w:val="00C4029C"/>
    <w:rsid w:val="00C403B5"/>
    <w:rsid w:val="00C41637"/>
    <w:rsid w:val="00C419F0"/>
    <w:rsid w:val="00C41B02"/>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93"/>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41"/>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457"/>
    <w:rsid w:val="00C64730"/>
    <w:rsid w:val="00C64ABE"/>
    <w:rsid w:val="00C64B6A"/>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67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D05"/>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013"/>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1B"/>
    <w:rsid w:val="00CA7BF9"/>
    <w:rsid w:val="00CA7CDB"/>
    <w:rsid w:val="00CB0330"/>
    <w:rsid w:val="00CB0D29"/>
    <w:rsid w:val="00CB19BD"/>
    <w:rsid w:val="00CB1C98"/>
    <w:rsid w:val="00CB1DB0"/>
    <w:rsid w:val="00CB208E"/>
    <w:rsid w:val="00CB225C"/>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4C6"/>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A70"/>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261"/>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37"/>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E5C"/>
    <w:rsid w:val="00CE4FF5"/>
    <w:rsid w:val="00CE5003"/>
    <w:rsid w:val="00CE5468"/>
    <w:rsid w:val="00CE58BC"/>
    <w:rsid w:val="00CE5F67"/>
    <w:rsid w:val="00CE61B5"/>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83A"/>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50"/>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0B"/>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79D"/>
    <w:rsid w:val="00D1391C"/>
    <w:rsid w:val="00D13B14"/>
    <w:rsid w:val="00D13F00"/>
    <w:rsid w:val="00D146DC"/>
    <w:rsid w:val="00D148E5"/>
    <w:rsid w:val="00D14B28"/>
    <w:rsid w:val="00D1520E"/>
    <w:rsid w:val="00D1589D"/>
    <w:rsid w:val="00D15C48"/>
    <w:rsid w:val="00D15CA6"/>
    <w:rsid w:val="00D15E33"/>
    <w:rsid w:val="00D162AE"/>
    <w:rsid w:val="00D1660B"/>
    <w:rsid w:val="00D16AF1"/>
    <w:rsid w:val="00D1709B"/>
    <w:rsid w:val="00D172F0"/>
    <w:rsid w:val="00D17A1C"/>
    <w:rsid w:val="00D17D24"/>
    <w:rsid w:val="00D17F46"/>
    <w:rsid w:val="00D206AA"/>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1CD"/>
    <w:rsid w:val="00D33545"/>
    <w:rsid w:val="00D33861"/>
    <w:rsid w:val="00D3398E"/>
    <w:rsid w:val="00D33C61"/>
    <w:rsid w:val="00D33FDD"/>
    <w:rsid w:val="00D34113"/>
    <w:rsid w:val="00D3498A"/>
    <w:rsid w:val="00D35547"/>
    <w:rsid w:val="00D356DA"/>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83B"/>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5ED1"/>
    <w:rsid w:val="00D461ED"/>
    <w:rsid w:val="00D461FA"/>
    <w:rsid w:val="00D472BA"/>
    <w:rsid w:val="00D47390"/>
    <w:rsid w:val="00D47620"/>
    <w:rsid w:val="00D479E2"/>
    <w:rsid w:val="00D47A64"/>
    <w:rsid w:val="00D50869"/>
    <w:rsid w:val="00D50921"/>
    <w:rsid w:val="00D50BDB"/>
    <w:rsid w:val="00D50DA7"/>
    <w:rsid w:val="00D51201"/>
    <w:rsid w:val="00D513A5"/>
    <w:rsid w:val="00D51856"/>
    <w:rsid w:val="00D5198E"/>
    <w:rsid w:val="00D519D2"/>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B7E"/>
    <w:rsid w:val="00D56C58"/>
    <w:rsid w:val="00D56DEA"/>
    <w:rsid w:val="00D56E22"/>
    <w:rsid w:val="00D56E2A"/>
    <w:rsid w:val="00D56F3F"/>
    <w:rsid w:val="00D57064"/>
    <w:rsid w:val="00D573CF"/>
    <w:rsid w:val="00D576BE"/>
    <w:rsid w:val="00D577AB"/>
    <w:rsid w:val="00D578BB"/>
    <w:rsid w:val="00D57EAF"/>
    <w:rsid w:val="00D60245"/>
    <w:rsid w:val="00D60349"/>
    <w:rsid w:val="00D60410"/>
    <w:rsid w:val="00D604D9"/>
    <w:rsid w:val="00D6061C"/>
    <w:rsid w:val="00D606CB"/>
    <w:rsid w:val="00D6075F"/>
    <w:rsid w:val="00D60782"/>
    <w:rsid w:val="00D60795"/>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74A"/>
    <w:rsid w:val="00D86A26"/>
    <w:rsid w:val="00D86A98"/>
    <w:rsid w:val="00D86F8C"/>
    <w:rsid w:val="00D87916"/>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662"/>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3D0"/>
    <w:rsid w:val="00DA1A9A"/>
    <w:rsid w:val="00DA1B78"/>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E4A"/>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44F"/>
    <w:rsid w:val="00DB273F"/>
    <w:rsid w:val="00DB27B6"/>
    <w:rsid w:val="00DB297C"/>
    <w:rsid w:val="00DB2F2E"/>
    <w:rsid w:val="00DB2F40"/>
    <w:rsid w:val="00DB32FF"/>
    <w:rsid w:val="00DB36EB"/>
    <w:rsid w:val="00DB39CC"/>
    <w:rsid w:val="00DB39DE"/>
    <w:rsid w:val="00DB3A1F"/>
    <w:rsid w:val="00DB3BEA"/>
    <w:rsid w:val="00DB3C13"/>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6CEF"/>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33F"/>
    <w:rsid w:val="00DC1517"/>
    <w:rsid w:val="00DC16AA"/>
    <w:rsid w:val="00DC17D2"/>
    <w:rsid w:val="00DC1FEB"/>
    <w:rsid w:val="00DC2411"/>
    <w:rsid w:val="00DC2570"/>
    <w:rsid w:val="00DC2623"/>
    <w:rsid w:val="00DC2644"/>
    <w:rsid w:val="00DC2728"/>
    <w:rsid w:val="00DC2740"/>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948"/>
    <w:rsid w:val="00DD3F5F"/>
    <w:rsid w:val="00DD430C"/>
    <w:rsid w:val="00DD44CA"/>
    <w:rsid w:val="00DD44CD"/>
    <w:rsid w:val="00DD451F"/>
    <w:rsid w:val="00DD45CF"/>
    <w:rsid w:val="00DD467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D75D3"/>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019"/>
    <w:rsid w:val="00DE337C"/>
    <w:rsid w:val="00DE3453"/>
    <w:rsid w:val="00DE352D"/>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08A"/>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C0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94B"/>
    <w:rsid w:val="00E04C07"/>
    <w:rsid w:val="00E0526D"/>
    <w:rsid w:val="00E05B34"/>
    <w:rsid w:val="00E05ED6"/>
    <w:rsid w:val="00E06192"/>
    <w:rsid w:val="00E064CF"/>
    <w:rsid w:val="00E06AA0"/>
    <w:rsid w:val="00E06BB0"/>
    <w:rsid w:val="00E06CC5"/>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11"/>
    <w:rsid w:val="00E45A82"/>
    <w:rsid w:val="00E45C31"/>
    <w:rsid w:val="00E45C92"/>
    <w:rsid w:val="00E45C97"/>
    <w:rsid w:val="00E45CDD"/>
    <w:rsid w:val="00E45D60"/>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03B"/>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2CB8"/>
    <w:rsid w:val="00E634A2"/>
    <w:rsid w:val="00E63566"/>
    <w:rsid w:val="00E635FF"/>
    <w:rsid w:val="00E637BA"/>
    <w:rsid w:val="00E63E37"/>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6825"/>
    <w:rsid w:val="00E6713E"/>
    <w:rsid w:val="00E67257"/>
    <w:rsid w:val="00E67287"/>
    <w:rsid w:val="00E674F9"/>
    <w:rsid w:val="00E678EC"/>
    <w:rsid w:val="00E6796E"/>
    <w:rsid w:val="00E67C30"/>
    <w:rsid w:val="00E67D67"/>
    <w:rsid w:val="00E67F53"/>
    <w:rsid w:val="00E7093B"/>
    <w:rsid w:val="00E7129F"/>
    <w:rsid w:val="00E7137A"/>
    <w:rsid w:val="00E71386"/>
    <w:rsid w:val="00E71451"/>
    <w:rsid w:val="00E71709"/>
    <w:rsid w:val="00E71756"/>
    <w:rsid w:val="00E71C8D"/>
    <w:rsid w:val="00E71F4E"/>
    <w:rsid w:val="00E72006"/>
    <w:rsid w:val="00E7247A"/>
    <w:rsid w:val="00E7270A"/>
    <w:rsid w:val="00E72936"/>
    <w:rsid w:val="00E72B2C"/>
    <w:rsid w:val="00E72B88"/>
    <w:rsid w:val="00E72C66"/>
    <w:rsid w:val="00E72E24"/>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850"/>
    <w:rsid w:val="00E86DD3"/>
    <w:rsid w:val="00E86DEE"/>
    <w:rsid w:val="00E86E79"/>
    <w:rsid w:val="00E86E7D"/>
    <w:rsid w:val="00E87357"/>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2BF"/>
    <w:rsid w:val="00E93762"/>
    <w:rsid w:val="00E9376B"/>
    <w:rsid w:val="00E939B5"/>
    <w:rsid w:val="00E93A2E"/>
    <w:rsid w:val="00E93DE9"/>
    <w:rsid w:val="00E94060"/>
    <w:rsid w:val="00E94388"/>
    <w:rsid w:val="00E944C8"/>
    <w:rsid w:val="00E944D6"/>
    <w:rsid w:val="00E9467A"/>
    <w:rsid w:val="00E95984"/>
    <w:rsid w:val="00E95BA6"/>
    <w:rsid w:val="00E95BC0"/>
    <w:rsid w:val="00E95C57"/>
    <w:rsid w:val="00E9607F"/>
    <w:rsid w:val="00E9653B"/>
    <w:rsid w:val="00E967E1"/>
    <w:rsid w:val="00E96A93"/>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1"/>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E6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BC6"/>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4EC3"/>
    <w:rsid w:val="00F35186"/>
    <w:rsid w:val="00F354A1"/>
    <w:rsid w:val="00F35C28"/>
    <w:rsid w:val="00F36216"/>
    <w:rsid w:val="00F36492"/>
    <w:rsid w:val="00F36501"/>
    <w:rsid w:val="00F36E2F"/>
    <w:rsid w:val="00F375E0"/>
    <w:rsid w:val="00F37652"/>
    <w:rsid w:val="00F37C04"/>
    <w:rsid w:val="00F37DC8"/>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189"/>
    <w:rsid w:val="00F6234F"/>
    <w:rsid w:val="00F624DF"/>
    <w:rsid w:val="00F6253E"/>
    <w:rsid w:val="00F6258F"/>
    <w:rsid w:val="00F62651"/>
    <w:rsid w:val="00F627D3"/>
    <w:rsid w:val="00F62A16"/>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9DD"/>
    <w:rsid w:val="00F73AA6"/>
    <w:rsid w:val="00F73E43"/>
    <w:rsid w:val="00F73F3C"/>
    <w:rsid w:val="00F73F7F"/>
    <w:rsid w:val="00F743FB"/>
    <w:rsid w:val="00F74425"/>
    <w:rsid w:val="00F744C6"/>
    <w:rsid w:val="00F745DC"/>
    <w:rsid w:val="00F74ED4"/>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77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3BE"/>
    <w:rsid w:val="00FA68BC"/>
    <w:rsid w:val="00FA696B"/>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3A"/>
    <w:rsid w:val="00FB3DFA"/>
    <w:rsid w:val="00FB3FAA"/>
    <w:rsid w:val="00FB4350"/>
    <w:rsid w:val="00FB46BD"/>
    <w:rsid w:val="00FB46FC"/>
    <w:rsid w:val="00FB4890"/>
    <w:rsid w:val="00FB49D3"/>
    <w:rsid w:val="00FB4F60"/>
    <w:rsid w:val="00FB50FD"/>
    <w:rsid w:val="00FB5148"/>
    <w:rsid w:val="00FB56B7"/>
    <w:rsid w:val="00FB57B7"/>
    <w:rsid w:val="00FB5EC2"/>
    <w:rsid w:val="00FB6092"/>
    <w:rsid w:val="00FB6386"/>
    <w:rsid w:val="00FB6503"/>
    <w:rsid w:val="00FB67D7"/>
    <w:rsid w:val="00FB6B44"/>
    <w:rsid w:val="00FB6BF8"/>
    <w:rsid w:val="00FB6D04"/>
    <w:rsid w:val="00FB6FDC"/>
    <w:rsid w:val="00FB71AB"/>
    <w:rsid w:val="00FB769E"/>
    <w:rsid w:val="00FB77D1"/>
    <w:rsid w:val="00FB7BE6"/>
    <w:rsid w:val="00FB7C7C"/>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96E"/>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81E"/>
    <w:rsid w:val="00FD1B0F"/>
    <w:rsid w:val="00FD1B32"/>
    <w:rsid w:val="00FD1BAC"/>
    <w:rsid w:val="00FD2073"/>
    <w:rsid w:val="00FD2337"/>
    <w:rsid w:val="00FD28AF"/>
    <w:rsid w:val="00FD299C"/>
    <w:rsid w:val="00FD2F45"/>
    <w:rsid w:val="00FD30F6"/>
    <w:rsid w:val="00FD31E6"/>
    <w:rsid w:val="00FD3352"/>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6C1"/>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1A9"/>
    <w:rsid w:val="00FF53B7"/>
    <w:rsid w:val="00FF55A5"/>
    <w:rsid w:val="00FF55E7"/>
    <w:rsid w:val="00FF57FE"/>
    <w:rsid w:val="00FF581D"/>
    <w:rsid w:val="00FF5927"/>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E7BF443-04AB-4593-BDFC-FF14E891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150DF"/>
    <w:pPr>
      <w:keepNext/>
      <w:keepLines/>
      <w:numPr>
        <w:numId w:val="36"/>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3B65A3"/>
    <w:pPr>
      <w:numPr>
        <w:ilvl w:val="1"/>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B65A3"/>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2501AF"/>
    <w:rPr>
      <w:rFonts w:ascii="Times New Roman" w:hAnsi="Times New Roman"/>
      <w:sz w:val="32"/>
      <w:lang w:val="en-US" w:eastAsia="en-US"/>
    </w:rPr>
  </w:style>
  <w:style w:type="paragraph" w:customStyle="1" w:styleId="3GPPH1">
    <w:name w:val="3GPP H1"/>
    <w:basedOn w:val="Heading1"/>
    <w:next w:val="Normal"/>
    <w:link w:val="3GPPH1Char"/>
    <w:qFormat/>
    <w:rsid w:val="002501AF"/>
    <w:rPr>
      <w:lang w:val="en-US"/>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4742832">
      <w:bodyDiv w:val="1"/>
      <w:marLeft w:val="0"/>
      <w:marRight w:val="0"/>
      <w:marTop w:val="0"/>
      <w:marBottom w:val="0"/>
      <w:divBdr>
        <w:top w:val="none" w:sz="0" w:space="0" w:color="auto"/>
        <w:left w:val="none" w:sz="0" w:space="0" w:color="auto"/>
        <w:bottom w:val="none" w:sz="0" w:space="0" w:color="auto"/>
        <w:right w:val="none" w:sz="0" w:space="0" w:color="auto"/>
      </w:divBdr>
      <w:divsChild>
        <w:div w:id="1577278179">
          <w:marLeft w:val="0"/>
          <w:marRight w:val="0"/>
          <w:marTop w:val="0"/>
          <w:marBottom w:val="0"/>
          <w:divBdr>
            <w:top w:val="none" w:sz="0" w:space="0" w:color="auto"/>
            <w:left w:val="none" w:sz="0" w:space="0" w:color="auto"/>
            <w:bottom w:val="none" w:sz="0" w:space="0" w:color="auto"/>
            <w:right w:val="none" w:sz="0" w:space="0" w:color="auto"/>
          </w:divBdr>
        </w:div>
      </w:divsChild>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E6JD2UEEJPRS-1285206665-5556</_dlc_DocId>
    <_dlc_DocIdUrl xmlns="6644bbd9-135b-4773-ad84-bc84a2f6263e">
      <Url>https://qualcomm.sharepoint.com/teams/LocationTechnology/ExternalFocus/_layouts/15/DocIdRedir.aspx?ID=E6JD2UEEJPRS-1285206665-5556</Url>
      <Description>E6JD2UEEJPRS-1285206665-5556</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18196</TotalTime>
  <Pages>9</Pages>
  <Words>4725</Words>
  <Characters>28041</Characters>
  <Application>Microsoft Office Word</Application>
  <DocSecurity>0</DocSecurity>
  <Lines>233</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32701</CharactersWithSpaces>
  <SharedDoc>false</SharedDoc>
  <HLinks>
    <vt:vector size="168" baseType="variant">
      <vt:variant>
        <vt:i4>1441853</vt:i4>
      </vt:variant>
      <vt:variant>
        <vt:i4>203</vt:i4>
      </vt:variant>
      <vt:variant>
        <vt:i4>0</vt:i4>
      </vt:variant>
      <vt:variant>
        <vt:i4>5</vt:i4>
      </vt:variant>
      <vt:variant>
        <vt:lpwstr/>
      </vt:variant>
      <vt:variant>
        <vt:lpwstr>_Toc127524927</vt:lpwstr>
      </vt:variant>
      <vt:variant>
        <vt:i4>1441853</vt:i4>
      </vt:variant>
      <vt:variant>
        <vt:i4>200</vt:i4>
      </vt:variant>
      <vt:variant>
        <vt:i4>0</vt:i4>
      </vt:variant>
      <vt:variant>
        <vt:i4>5</vt:i4>
      </vt:variant>
      <vt:variant>
        <vt:lpwstr/>
      </vt:variant>
      <vt:variant>
        <vt:lpwstr>_Toc127524926</vt:lpwstr>
      </vt:variant>
      <vt:variant>
        <vt:i4>1441853</vt:i4>
      </vt:variant>
      <vt:variant>
        <vt:i4>197</vt:i4>
      </vt:variant>
      <vt:variant>
        <vt:i4>0</vt:i4>
      </vt:variant>
      <vt:variant>
        <vt:i4>5</vt:i4>
      </vt:variant>
      <vt:variant>
        <vt:lpwstr/>
      </vt:variant>
      <vt:variant>
        <vt:lpwstr>_Toc127524925</vt:lpwstr>
      </vt:variant>
      <vt:variant>
        <vt:i4>1441853</vt:i4>
      </vt:variant>
      <vt:variant>
        <vt:i4>194</vt:i4>
      </vt:variant>
      <vt:variant>
        <vt:i4>0</vt:i4>
      </vt:variant>
      <vt:variant>
        <vt:i4>5</vt:i4>
      </vt:variant>
      <vt:variant>
        <vt:lpwstr/>
      </vt:variant>
      <vt:variant>
        <vt:lpwstr>_Toc127524924</vt:lpwstr>
      </vt:variant>
      <vt:variant>
        <vt:i4>1441853</vt:i4>
      </vt:variant>
      <vt:variant>
        <vt:i4>191</vt:i4>
      </vt:variant>
      <vt:variant>
        <vt:i4>0</vt:i4>
      </vt:variant>
      <vt:variant>
        <vt:i4>5</vt:i4>
      </vt:variant>
      <vt:variant>
        <vt:lpwstr/>
      </vt:variant>
      <vt:variant>
        <vt:lpwstr>_Toc127524923</vt:lpwstr>
      </vt:variant>
      <vt:variant>
        <vt:i4>1441853</vt:i4>
      </vt:variant>
      <vt:variant>
        <vt:i4>188</vt:i4>
      </vt:variant>
      <vt:variant>
        <vt:i4>0</vt:i4>
      </vt:variant>
      <vt:variant>
        <vt:i4>5</vt:i4>
      </vt:variant>
      <vt:variant>
        <vt:lpwstr/>
      </vt:variant>
      <vt:variant>
        <vt:lpwstr>_Toc127524922</vt:lpwstr>
      </vt:variant>
      <vt:variant>
        <vt:i4>1441853</vt:i4>
      </vt:variant>
      <vt:variant>
        <vt:i4>185</vt:i4>
      </vt:variant>
      <vt:variant>
        <vt:i4>0</vt:i4>
      </vt:variant>
      <vt:variant>
        <vt:i4>5</vt:i4>
      </vt:variant>
      <vt:variant>
        <vt:lpwstr/>
      </vt:variant>
      <vt:variant>
        <vt:lpwstr>_Toc127524921</vt:lpwstr>
      </vt:variant>
      <vt:variant>
        <vt:i4>1441853</vt:i4>
      </vt:variant>
      <vt:variant>
        <vt:i4>182</vt:i4>
      </vt:variant>
      <vt:variant>
        <vt:i4>0</vt:i4>
      </vt:variant>
      <vt:variant>
        <vt:i4>5</vt:i4>
      </vt:variant>
      <vt:variant>
        <vt:lpwstr/>
      </vt:variant>
      <vt:variant>
        <vt:lpwstr>_Toc127524920</vt:lpwstr>
      </vt:variant>
      <vt:variant>
        <vt:i4>1376317</vt:i4>
      </vt:variant>
      <vt:variant>
        <vt:i4>179</vt:i4>
      </vt:variant>
      <vt:variant>
        <vt:i4>0</vt:i4>
      </vt:variant>
      <vt:variant>
        <vt:i4>5</vt:i4>
      </vt:variant>
      <vt:variant>
        <vt:lpwstr/>
      </vt:variant>
      <vt:variant>
        <vt:lpwstr>_Toc127524919</vt:lpwstr>
      </vt:variant>
      <vt:variant>
        <vt:i4>1376317</vt:i4>
      </vt:variant>
      <vt:variant>
        <vt:i4>176</vt:i4>
      </vt:variant>
      <vt:variant>
        <vt:i4>0</vt:i4>
      </vt:variant>
      <vt:variant>
        <vt:i4>5</vt:i4>
      </vt:variant>
      <vt:variant>
        <vt:lpwstr/>
      </vt:variant>
      <vt:variant>
        <vt:lpwstr>_Toc127524918</vt:lpwstr>
      </vt:variant>
      <vt:variant>
        <vt:i4>1376317</vt:i4>
      </vt:variant>
      <vt:variant>
        <vt:i4>173</vt:i4>
      </vt:variant>
      <vt:variant>
        <vt:i4>0</vt:i4>
      </vt:variant>
      <vt:variant>
        <vt:i4>5</vt:i4>
      </vt:variant>
      <vt:variant>
        <vt:lpwstr/>
      </vt:variant>
      <vt:variant>
        <vt:lpwstr>_Toc127524917</vt:lpwstr>
      </vt:variant>
      <vt:variant>
        <vt:i4>1376317</vt:i4>
      </vt:variant>
      <vt:variant>
        <vt:i4>170</vt:i4>
      </vt:variant>
      <vt:variant>
        <vt:i4>0</vt:i4>
      </vt:variant>
      <vt:variant>
        <vt:i4>5</vt:i4>
      </vt:variant>
      <vt:variant>
        <vt:lpwstr/>
      </vt:variant>
      <vt:variant>
        <vt:lpwstr>_Toc127524916</vt:lpwstr>
      </vt:variant>
      <vt:variant>
        <vt:i4>1376317</vt:i4>
      </vt:variant>
      <vt:variant>
        <vt:i4>167</vt:i4>
      </vt:variant>
      <vt:variant>
        <vt:i4>0</vt:i4>
      </vt:variant>
      <vt:variant>
        <vt:i4>5</vt:i4>
      </vt:variant>
      <vt:variant>
        <vt:lpwstr/>
      </vt:variant>
      <vt:variant>
        <vt:lpwstr>_Toc127524915</vt:lpwstr>
      </vt:variant>
      <vt:variant>
        <vt:i4>1376317</vt:i4>
      </vt:variant>
      <vt:variant>
        <vt:i4>164</vt:i4>
      </vt:variant>
      <vt:variant>
        <vt:i4>0</vt:i4>
      </vt:variant>
      <vt:variant>
        <vt:i4>5</vt:i4>
      </vt:variant>
      <vt:variant>
        <vt:lpwstr/>
      </vt:variant>
      <vt:variant>
        <vt:lpwstr>_Toc127524914</vt:lpwstr>
      </vt:variant>
      <vt:variant>
        <vt:i4>1376317</vt:i4>
      </vt:variant>
      <vt:variant>
        <vt:i4>161</vt:i4>
      </vt:variant>
      <vt:variant>
        <vt:i4>0</vt:i4>
      </vt:variant>
      <vt:variant>
        <vt:i4>5</vt:i4>
      </vt:variant>
      <vt:variant>
        <vt:lpwstr/>
      </vt:variant>
      <vt:variant>
        <vt:lpwstr>_Toc127524913</vt:lpwstr>
      </vt:variant>
      <vt:variant>
        <vt:i4>1376317</vt:i4>
      </vt:variant>
      <vt:variant>
        <vt:i4>158</vt:i4>
      </vt:variant>
      <vt:variant>
        <vt:i4>0</vt:i4>
      </vt:variant>
      <vt:variant>
        <vt:i4>5</vt:i4>
      </vt:variant>
      <vt:variant>
        <vt:lpwstr/>
      </vt:variant>
      <vt:variant>
        <vt:lpwstr>_Toc127524912</vt:lpwstr>
      </vt:variant>
      <vt:variant>
        <vt:i4>1376317</vt:i4>
      </vt:variant>
      <vt:variant>
        <vt:i4>155</vt:i4>
      </vt:variant>
      <vt:variant>
        <vt:i4>0</vt:i4>
      </vt:variant>
      <vt:variant>
        <vt:i4>5</vt:i4>
      </vt:variant>
      <vt:variant>
        <vt:lpwstr/>
      </vt:variant>
      <vt:variant>
        <vt:lpwstr>_Toc127524911</vt:lpwstr>
      </vt:variant>
      <vt:variant>
        <vt:i4>1376317</vt:i4>
      </vt:variant>
      <vt:variant>
        <vt:i4>152</vt:i4>
      </vt:variant>
      <vt:variant>
        <vt:i4>0</vt:i4>
      </vt:variant>
      <vt:variant>
        <vt:i4>5</vt:i4>
      </vt:variant>
      <vt:variant>
        <vt:lpwstr/>
      </vt:variant>
      <vt:variant>
        <vt:lpwstr>_Toc127524910</vt:lpwstr>
      </vt:variant>
      <vt:variant>
        <vt:i4>1310781</vt:i4>
      </vt:variant>
      <vt:variant>
        <vt:i4>149</vt:i4>
      </vt:variant>
      <vt:variant>
        <vt:i4>0</vt:i4>
      </vt:variant>
      <vt:variant>
        <vt:i4>5</vt:i4>
      </vt:variant>
      <vt:variant>
        <vt:lpwstr/>
      </vt:variant>
      <vt:variant>
        <vt:lpwstr>_Toc127524909</vt:lpwstr>
      </vt:variant>
      <vt:variant>
        <vt:i4>1310781</vt:i4>
      </vt:variant>
      <vt:variant>
        <vt:i4>146</vt:i4>
      </vt:variant>
      <vt:variant>
        <vt:i4>0</vt:i4>
      </vt:variant>
      <vt:variant>
        <vt:i4>5</vt:i4>
      </vt:variant>
      <vt:variant>
        <vt:lpwstr/>
      </vt:variant>
      <vt:variant>
        <vt:lpwstr>_Toc127524908</vt:lpwstr>
      </vt:variant>
      <vt:variant>
        <vt:i4>1310781</vt:i4>
      </vt:variant>
      <vt:variant>
        <vt:i4>143</vt:i4>
      </vt:variant>
      <vt:variant>
        <vt:i4>0</vt:i4>
      </vt:variant>
      <vt:variant>
        <vt:i4>5</vt:i4>
      </vt:variant>
      <vt:variant>
        <vt:lpwstr/>
      </vt:variant>
      <vt:variant>
        <vt:lpwstr>_Toc127524907</vt:lpwstr>
      </vt:variant>
      <vt:variant>
        <vt:i4>1310781</vt:i4>
      </vt:variant>
      <vt:variant>
        <vt:i4>140</vt:i4>
      </vt:variant>
      <vt:variant>
        <vt:i4>0</vt:i4>
      </vt:variant>
      <vt:variant>
        <vt:i4>5</vt:i4>
      </vt:variant>
      <vt:variant>
        <vt:lpwstr/>
      </vt:variant>
      <vt:variant>
        <vt:lpwstr>_Toc127524906</vt:lpwstr>
      </vt:variant>
      <vt:variant>
        <vt:i4>1310781</vt:i4>
      </vt:variant>
      <vt:variant>
        <vt:i4>137</vt:i4>
      </vt:variant>
      <vt:variant>
        <vt:i4>0</vt:i4>
      </vt:variant>
      <vt:variant>
        <vt:i4>5</vt:i4>
      </vt:variant>
      <vt:variant>
        <vt:lpwstr/>
      </vt:variant>
      <vt:variant>
        <vt:lpwstr>_Toc127524905</vt:lpwstr>
      </vt:variant>
      <vt:variant>
        <vt:i4>1900604</vt:i4>
      </vt:variant>
      <vt:variant>
        <vt:i4>131</vt:i4>
      </vt:variant>
      <vt:variant>
        <vt:i4>0</vt:i4>
      </vt:variant>
      <vt:variant>
        <vt:i4>5</vt:i4>
      </vt:variant>
      <vt:variant>
        <vt:lpwstr/>
      </vt:variant>
      <vt:variant>
        <vt:lpwstr>_Toc127524896</vt:lpwstr>
      </vt:variant>
      <vt:variant>
        <vt:i4>1900604</vt:i4>
      </vt:variant>
      <vt:variant>
        <vt:i4>128</vt:i4>
      </vt:variant>
      <vt:variant>
        <vt:i4>0</vt:i4>
      </vt:variant>
      <vt:variant>
        <vt:i4>5</vt:i4>
      </vt:variant>
      <vt:variant>
        <vt:lpwstr/>
      </vt:variant>
      <vt:variant>
        <vt:lpwstr>_Toc127524895</vt:lpwstr>
      </vt:variant>
      <vt:variant>
        <vt:i4>1900604</vt:i4>
      </vt:variant>
      <vt:variant>
        <vt:i4>125</vt:i4>
      </vt:variant>
      <vt:variant>
        <vt:i4>0</vt:i4>
      </vt:variant>
      <vt:variant>
        <vt:i4>5</vt:i4>
      </vt:variant>
      <vt:variant>
        <vt:lpwstr/>
      </vt:variant>
      <vt:variant>
        <vt:lpwstr>_Toc127524894</vt:lpwstr>
      </vt:variant>
      <vt:variant>
        <vt:i4>1900604</vt:i4>
      </vt:variant>
      <vt:variant>
        <vt:i4>122</vt:i4>
      </vt:variant>
      <vt:variant>
        <vt:i4>0</vt:i4>
      </vt:variant>
      <vt:variant>
        <vt:i4>5</vt:i4>
      </vt:variant>
      <vt:variant>
        <vt:lpwstr/>
      </vt:variant>
      <vt:variant>
        <vt:lpwstr>_Toc127524893</vt:lpwstr>
      </vt:variant>
      <vt:variant>
        <vt:i4>1900604</vt:i4>
      </vt:variant>
      <vt:variant>
        <vt:i4>119</vt:i4>
      </vt:variant>
      <vt:variant>
        <vt:i4>0</vt:i4>
      </vt:variant>
      <vt:variant>
        <vt:i4>5</vt:i4>
      </vt:variant>
      <vt:variant>
        <vt:lpwstr/>
      </vt:variant>
      <vt:variant>
        <vt:lpwstr>_Toc127524892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3407</cp:revision>
  <cp:lastPrinted>2018-09-27T14:55:00Z</cp:lastPrinted>
  <dcterms:created xsi:type="dcterms:W3CDTF">2019-10-18T08:39:00Z</dcterms:created>
  <dcterms:modified xsi:type="dcterms:W3CDTF">2023-02-24T17:36:00Z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8c6b1992-bd4d-40bf-95c5-6ac11bf0f6c9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